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4AF403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w:t>
      </w:r>
      <w:r w:rsidR="00E34775">
        <w:rPr>
          <w:bCs/>
          <w:noProof w:val="0"/>
          <w:sz w:val="24"/>
          <w:szCs w:val="24"/>
        </w:rPr>
        <w:t>9</w:t>
      </w:r>
      <w:r w:rsidRPr="00B266B0">
        <w:rPr>
          <w:bCs/>
          <w:noProof w:val="0"/>
          <w:sz w:val="24"/>
          <w:szCs w:val="24"/>
        </w:rPr>
        <w:tab/>
      </w:r>
      <w:r w:rsidR="009E04E8" w:rsidRPr="009E04E8">
        <w:rPr>
          <w:bCs/>
          <w:noProof w:val="0"/>
          <w:sz w:val="24"/>
          <w:szCs w:val="24"/>
        </w:rPr>
        <w:t>R2-</w:t>
      </w:r>
      <w:r w:rsidR="00953312">
        <w:rPr>
          <w:bCs/>
          <w:noProof w:val="0"/>
          <w:sz w:val="24"/>
          <w:szCs w:val="24"/>
        </w:rPr>
        <w:t>2500720</w:t>
      </w:r>
    </w:p>
    <w:p w14:paraId="3723E1D3" w14:textId="74563B67" w:rsidR="005432D9" w:rsidRPr="00465587" w:rsidRDefault="005E70FE" w:rsidP="005432D9">
      <w:pPr>
        <w:pStyle w:val="Header"/>
        <w:tabs>
          <w:tab w:val="right" w:pos="9639"/>
        </w:tabs>
        <w:rPr>
          <w:rFonts w:eastAsia="SimSun"/>
          <w:bCs/>
          <w:sz w:val="24"/>
          <w:szCs w:val="24"/>
          <w:lang w:eastAsia="zh-CN"/>
        </w:rPr>
      </w:pPr>
      <w:r>
        <w:rPr>
          <w:rFonts w:eastAsia="SimSun"/>
          <w:bCs/>
          <w:sz w:val="24"/>
          <w:szCs w:val="24"/>
          <w:lang w:eastAsia="zh-CN"/>
        </w:rPr>
        <w:t>Athens</w:t>
      </w:r>
      <w:r w:rsidR="00466417">
        <w:rPr>
          <w:rFonts w:eastAsia="SimSun"/>
          <w:bCs/>
          <w:sz w:val="24"/>
          <w:szCs w:val="24"/>
          <w:lang w:eastAsia="zh-CN"/>
        </w:rPr>
        <w:t xml:space="preserve">, </w:t>
      </w:r>
      <w:r>
        <w:rPr>
          <w:rFonts w:eastAsia="SimSun"/>
          <w:bCs/>
          <w:sz w:val="24"/>
          <w:szCs w:val="24"/>
          <w:lang w:eastAsia="zh-CN"/>
        </w:rPr>
        <w:t>Greece</w:t>
      </w:r>
      <w:r w:rsidR="000D3DFC" w:rsidRPr="000D3DFC">
        <w:rPr>
          <w:rFonts w:eastAsia="SimSun"/>
          <w:bCs/>
          <w:sz w:val="24"/>
          <w:szCs w:val="24"/>
          <w:lang w:eastAsia="zh-CN"/>
        </w:rPr>
        <w:t xml:space="preserve">, </w:t>
      </w:r>
      <w:r w:rsidR="00925D25">
        <w:rPr>
          <w:rFonts w:eastAsia="SimSun"/>
          <w:bCs/>
          <w:sz w:val="24"/>
          <w:szCs w:val="24"/>
          <w:lang w:eastAsia="zh-CN"/>
        </w:rPr>
        <w:t>1</w:t>
      </w:r>
      <w:r>
        <w:rPr>
          <w:rFonts w:eastAsia="SimSun"/>
          <w:bCs/>
          <w:sz w:val="24"/>
          <w:szCs w:val="24"/>
          <w:lang w:eastAsia="zh-CN"/>
        </w:rPr>
        <w:t>7</w:t>
      </w:r>
      <w:r w:rsidR="000D3DFC" w:rsidRPr="000D3DFC">
        <w:rPr>
          <w:rFonts w:eastAsia="SimSun"/>
          <w:bCs/>
          <w:sz w:val="24"/>
          <w:szCs w:val="24"/>
          <w:lang w:eastAsia="zh-CN"/>
        </w:rPr>
        <w:t xml:space="preserve"> – </w:t>
      </w:r>
      <w:r w:rsidR="00925D25">
        <w:rPr>
          <w:rFonts w:eastAsia="SimSun"/>
          <w:bCs/>
          <w:sz w:val="24"/>
          <w:szCs w:val="24"/>
          <w:lang w:eastAsia="zh-CN"/>
        </w:rPr>
        <w:t>2</w:t>
      </w:r>
      <w:r>
        <w:rPr>
          <w:rFonts w:eastAsia="SimSun"/>
          <w:bCs/>
          <w:sz w:val="24"/>
          <w:szCs w:val="24"/>
          <w:lang w:eastAsia="zh-CN"/>
        </w:rPr>
        <w:t>1</w:t>
      </w:r>
      <w:r w:rsidR="000D3DFC" w:rsidRPr="000D3DFC">
        <w:rPr>
          <w:rFonts w:eastAsia="SimSun"/>
          <w:bCs/>
          <w:sz w:val="24"/>
          <w:szCs w:val="24"/>
          <w:lang w:eastAsia="zh-CN"/>
        </w:rPr>
        <w:t xml:space="preserve"> </w:t>
      </w:r>
      <w:r>
        <w:rPr>
          <w:rFonts w:eastAsia="SimSun"/>
          <w:bCs/>
          <w:sz w:val="24"/>
          <w:szCs w:val="24"/>
          <w:lang w:eastAsia="zh-CN"/>
        </w:rPr>
        <w:t>February</w:t>
      </w:r>
      <w:r w:rsidR="009B3312">
        <w:rPr>
          <w:rFonts w:eastAsia="SimSun"/>
          <w:bCs/>
          <w:sz w:val="24"/>
          <w:szCs w:val="24"/>
          <w:lang w:eastAsia="zh-CN"/>
        </w:rPr>
        <w:t>,</w:t>
      </w:r>
      <w:r w:rsidR="000D3DFC" w:rsidRPr="000D3DFC">
        <w:rPr>
          <w:rFonts w:eastAsia="SimSun"/>
          <w:bCs/>
          <w:sz w:val="24"/>
          <w:szCs w:val="24"/>
          <w:lang w:eastAsia="zh-CN"/>
        </w:rPr>
        <w:t xml:space="preserve"> 202</w:t>
      </w:r>
      <w:r>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2C40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6675D9">
        <w:rPr>
          <w:rFonts w:cs="Arial"/>
          <w:b/>
          <w:bCs/>
          <w:sz w:val="24"/>
        </w:rPr>
        <w:t>6</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5AF5CC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75D9">
        <w:rPr>
          <w:rFonts w:ascii="Arial" w:hAnsi="Arial" w:cs="Arial"/>
          <w:b/>
          <w:bCs/>
          <w:sz w:val="24"/>
        </w:rPr>
        <w:t>Discussion on UL congestion signaling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5FFD8B" w14:textId="78637290" w:rsidR="00BE543F" w:rsidRDefault="00BE543F" w:rsidP="00925D25">
      <w:r>
        <w:t>RAN2#128 agreed the following:</w:t>
      </w:r>
    </w:p>
    <w:tbl>
      <w:tblPr>
        <w:tblStyle w:val="TableGrid"/>
        <w:tblW w:w="0" w:type="auto"/>
        <w:tblLook w:val="04A0" w:firstRow="1" w:lastRow="0" w:firstColumn="1" w:lastColumn="0" w:noHBand="0" w:noVBand="1"/>
      </w:tblPr>
      <w:tblGrid>
        <w:gridCol w:w="9631"/>
      </w:tblGrid>
      <w:tr w:rsidR="00BE543F" w14:paraId="0E81562C" w14:textId="77777777" w:rsidTr="00F26194">
        <w:tc>
          <w:tcPr>
            <w:tcW w:w="9631" w:type="dxa"/>
            <w:shd w:val="clear" w:color="auto" w:fill="F2F2F2" w:themeFill="background1" w:themeFillShade="F2"/>
          </w:tcPr>
          <w:p w14:paraId="449011F5" w14:textId="77777777" w:rsidR="00BE543F" w:rsidRPr="00F26194" w:rsidRDefault="00BE543F" w:rsidP="00BE543F">
            <w:pPr>
              <w:pStyle w:val="Doc-text2"/>
              <w:ind w:left="0" w:firstLine="0"/>
              <w:rPr>
                <w:b/>
                <w:bCs/>
                <w:i/>
                <w:iCs/>
              </w:rPr>
            </w:pPr>
            <w:r w:rsidRPr="00F26194">
              <w:rPr>
                <w:b/>
                <w:bCs/>
                <w:i/>
                <w:iCs/>
              </w:rPr>
              <w:t>Agreements on XR rate control</w:t>
            </w:r>
          </w:p>
          <w:p w14:paraId="660DBC53" w14:textId="77777777" w:rsidR="00BE543F" w:rsidRPr="00F26194" w:rsidRDefault="00BE543F" w:rsidP="00BE543F">
            <w:pPr>
              <w:pStyle w:val="Doc-text2"/>
              <w:numPr>
                <w:ilvl w:val="0"/>
                <w:numId w:val="22"/>
              </w:numPr>
              <w:rPr>
                <w:i/>
                <w:iCs/>
              </w:rPr>
            </w:pPr>
            <w:r w:rsidRPr="00F26194">
              <w:rPr>
                <w:i/>
                <w:iCs/>
              </w:rPr>
              <w:t>RAN2 confirms it is feasible for RAN to estimate the congestion information at both per-DRB and per-QoS flow level.</w:t>
            </w:r>
          </w:p>
          <w:p w14:paraId="37FEA3C7" w14:textId="77777777" w:rsidR="00BE543F" w:rsidRPr="00F26194" w:rsidRDefault="00BE543F" w:rsidP="00BE543F">
            <w:pPr>
              <w:pStyle w:val="Doc-text2"/>
              <w:numPr>
                <w:ilvl w:val="0"/>
                <w:numId w:val="22"/>
              </w:numPr>
              <w:rPr>
                <w:i/>
                <w:iCs/>
              </w:rPr>
            </w:pPr>
            <w:r w:rsidRPr="00F26194">
              <w:rPr>
                <w:i/>
                <w:iCs/>
              </w:rPr>
              <w:t>gNB can be indicated which QoS flows can be throttled. FFS whether this is indicated from UE/CN</w:t>
            </w:r>
          </w:p>
          <w:p w14:paraId="3EDDEB26" w14:textId="77777777" w:rsidR="00BE543F" w:rsidRPr="00F26194" w:rsidRDefault="00BE543F" w:rsidP="00BE543F">
            <w:pPr>
              <w:pStyle w:val="Doc-text2"/>
              <w:numPr>
                <w:ilvl w:val="0"/>
                <w:numId w:val="22"/>
              </w:numPr>
              <w:rPr>
                <w:i/>
                <w:iCs/>
              </w:rPr>
            </w:pPr>
            <w:r w:rsidRPr="00F26194">
              <w:rPr>
                <w:i/>
                <w:iCs/>
              </w:rPr>
              <w:t>Rate indication from gNB to the UE on a per QoS flow level is supported. FFS the details, e.g. if: 1) flows are indicated by MAC CE or 2) by RRC while MAC CE is per DRB.</w:t>
            </w:r>
          </w:p>
          <w:p w14:paraId="6292F32F" w14:textId="77777777" w:rsidR="00BE543F" w:rsidRPr="00F26194" w:rsidRDefault="00BE543F" w:rsidP="00BE543F">
            <w:pPr>
              <w:pStyle w:val="ListParagraph"/>
              <w:numPr>
                <w:ilvl w:val="0"/>
                <w:numId w:val="22"/>
              </w:numPr>
              <w:spacing w:after="0"/>
              <w:contextualSpacing w:val="0"/>
              <w:rPr>
                <w:rFonts w:ascii="Arial" w:eastAsia="MS Mincho" w:hAnsi="Arial"/>
                <w:i/>
                <w:iCs/>
                <w:szCs w:val="24"/>
              </w:rPr>
            </w:pPr>
            <w:r w:rsidRPr="00F26194">
              <w:rPr>
                <w:rFonts w:ascii="Arial" w:eastAsia="MS Mincho" w:hAnsi="Arial"/>
                <w:i/>
                <w:iCs/>
                <w:szCs w:val="24"/>
              </w:rPr>
              <w:t xml:space="preserve">RAN2 will not discuss/support rate indication for DL unless WID is updated to include it by RANP. </w:t>
            </w:r>
          </w:p>
          <w:p w14:paraId="3A883EDF" w14:textId="77777777" w:rsidR="00BE543F" w:rsidRPr="00F26194" w:rsidRDefault="00BE543F" w:rsidP="00BE543F">
            <w:pPr>
              <w:pStyle w:val="Doc-text2"/>
              <w:numPr>
                <w:ilvl w:val="0"/>
                <w:numId w:val="22"/>
              </w:numPr>
              <w:rPr>
                <w:i/>
                <w:iCs/>
              </w:rPr>
            </w:pPr>
            <w:r w:rsidRPr="00F26194">
              <w:rPr>
                <w:i/>
                <w:iCs/>
              </w:rPr>
              <w:t>RAN2 assumes that the congestion situation can be known at the gNB without any indication from the UE</w:t>
            </w:r>
          </w:p>
          <w:p w14:paraId="4F691CC3" w14:textId="17E0C0F7" w:rsidR="00BE543F" w:rsidRDefault="00BE543F" w:rsidP="00F26194">
            <w:pPr>
              <w:pStyle w:val="Doc-text2"/>
              <w:numPr>
                <w:ilvl w:val="0"/>
                <w:numId w:val="22"/>
              </w:numPr>
            </w:pPr>
            <w:r w:rsidRPr="00F26194">
              <w:rPr>
                <w:i/>
                <w:iCs/>
              </w:rPr>
              <w:t>FFS whether UL MAC CE rate query/preference is supported as UE recommendation to the NW or whether legacy MAC CE can serve this already. FFS in which scenarios this is useful.</w:t>
            </w:r>
          </w:p>
        </w:tc>
      </w:tr>
    </w:tbl>
    <w:p w14:paraId="6DC76A55" w14:textId="77777777" w:rsidR="00BE543F" w:rsidRDefault="00BE543F" w:rsidP="00925D25"/>
    <w:p w14:paraId="18C7159D" w14:textId="4688C8A2" w:rsidR="00D16095" w:rsidRDefault="00D16095" w:rsidP="00925D25">
      <w:r>
        <w:t xml:space="preserve">Furthermore, SA4 replied to RAN2 LS </w:t>
      </w:r>
      <w:r w:rsidR="00237C6F">
        <w:t xml:space="preserve">with the </w:t>
      </w:r>
      <w:r w:rsidR="008A7C2E">
        <w:t>typical UL data rates and granularity in R2-</w:t>
      </w:r>
      <w:r w:rsidR="003337DA">
        <w:t>2500056/S2-242182:</w:t>
      </w:r>
    </w:p>
    <w:tbl>
      <w:tblPr>
        <w:tblStyle w:val="TableGrid"/>
        <w:tblW w:w="0" w:type="auto"/>
        <w:tblLook w:val="04A0" w:firstRow="1" w:lastRow="0" w:firstColumn="1" w:lastColumn="0" w:noHBand="0" w:noVBand="1"/>
      </w:tblPr>
      <w:tblGrid>
        <w:gridCol w:w="9631"/>
      </w:tblGrid>
      <w:tr w:rsidR="003337DA" w14:paraId="2ECDF9E2" w14:textId="77777777" w:rsidTr="005844D1">
        <w:tc>
          <w:tcPr>
            <w:tcW w:w="9631" w:type="dxa"/>
            <w:shd w:val="clear" w:color="auto" w:fill="F2F2F2" w:themeFill="background1" w:themeFillShade="F2"/>
          </w:tcPr>
          <w:p w14:paraId="1499F4E7" w14:textId="77777777" w:rsidR="00013887" w:rsidRPr="00013887" w:rsidRDefault="00013887" w:rsidP="00013887">
            <w:pPr>
              <w:autoSpaceDE w:val="0"/>
              <w:autoSpaceDN w:val="0"/>
              <w:adjustRightInd w:val="0"/>
              <w:snapToGrid w:val="0"/>
              <w:spacing w:after="120"/>
              <w:jc w:val="both"/>
              <w:outlineLvl w:val="0"/>
              <w:rPr>
                <w:rFonts w:ascii="Arial" w:eastAsia="SimSun" w:hAnsi="Arial" w:cs="Arial"/>
                <w:b/>
                <w:szCs w:val="22"/>
                <w:lang w:val="en-US"/>
              </w:rPr>
            </w:pPr>
            <w:r w:rsidRPr="00013887">
              <w:rPr>
                <w:rFonts w:ascii="Arial" w:eastAsia="SimSun" w:hAnsi="Arial" w:cs="Arial"/>
                <w:b/>
                <w:sz w:val="22"/>
                <w:szCs w:val="22"/>
                <w:lang w:val="en-US"/>
              </w:rPr>
              <w:t xml:space="preserve">1. </w:t>
            </w:r>
            <w:r w:rsidRPr="00013887">
              <w:rPr>
                <w:rFonts w:ascii="Arial" w:eastAsia="SimSun" w:hAnsi="Arial" w:cs="Arial"/>
                <w:b/>
                <w:szCs w:val="22"/>
                <w:lang w:val="en-US"/>
              </w:rPr>
              <w:t>Overall Description:</w:t>
            </w:r>
          </w:p>
          <w:p w14:paraId="71550EA4"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bookmarkStart w:id="0" w:name="_Hlk146817914"/>
            <w:bookmarkStart w:id="1" w:name="_Hlk149073305"/>
            <w:r w:rsidRPr="00013887">
              <w:rPr>
                <w:rFonts w:ascii="Arial" w:eastAsia="DengXian" w:hAnsi="Arial" w:cs="Arial"/>
                <w:lang w:val="en-US" w:eastAsia="zh-CN"/>
              </w:rPr>
              <w:t>In R2-2409273, a question from RAN2 is:</w:t>
            </w:r>
          </w:p>
          <w:p w14:paraId="671FA9C7" w14:textId="77777777" w:rsidR="00013887" w:rsidRPr="00013887" w:rsidRDefault="00013887" w:rsidP="00013887">
            <w:pPr>
              <w:tabs>
                <w:tab w:val="center" w:pos="4680"/>
                <w:tab w:val="right" w:pos="9360"/>
              </w:tabs>
              <w:autoSpaceDE w:val="0"/>
              <w:autoSpaceDN w:val="0"/>
              <w:adjustRightInd w:val="0"/>
              <w:snapToGrid w:val="0"/>
              <w:spacing w:after="120"/>
              <w:ind w:left="425"/>
              <w:jc w:val="both"/>
              <w:rPr>
                <w:rFonts w:ascii="Arial" w:eastAsia="DengXian" w:hAnsi="Arial" w:cs="Arial"/>
                <w:i/>
                <w:iCs/>
                <w:lang w:val="en-US" w:eastAsia="zh-CN"/>
              </w:rPr>
            </w:pPr>
            <w:r w:rsidRPr="00013887">
              <w:rPr>
                <w:rFonts w:ascii="Arial" w:eastAsia="DengXian" w:hAnsi="Arial" w:cs="Arial"/>
                <w:i/>
                <w:iCs/>
                <w:lang w:val="en-US" w:eastAsia="zh-CN"/>
              </w:rPr>
              <w:t>RAN2 are discussing MAC-layer signaling enhancements to enable XR applications to adapt bit rates in response to uplink congestion. To proceed with the design, RAN2 would like to request input from SA4 on the appropriate range and granularity of uplink bit rates that need to be supported for the signaling enhancements.</w:t>
            </w:r>
          </w:p>
          <w:p w14:paraId="44C12F67" w14:textId="77777777" w:rsidR="00013887" w:rsidRPr="00013887" w:rsidRDefault="00013887" w:rsidP="00013887">
            <w:pPr>
              <w:autoSpaceDE w:val="0"/>
              <w:autoSpaceDN w:val="0"/>
              <w:adjustRightInd w:val="0"/>
              <w:snapToGrid w:val="0"/>
              <w:spacing w:after="120"/>
              <w:ind w:left="425"/>
              <w:jc w:val="both"/>
              <w:rPr>
                <w:rFonts w:ascii="Arial" w:eastAsia="DengXian" w:hAnsi="Arial" w:cs="Arial"/>
                <w:lang w:val="en-US" w:eastAsia="zh-CN"/>
              </w:rPr>
            </w:pPr>
            <w:r w:rsidRPr="00013887">
              <w:rPr>
                <w:rFonts w:ascii="Arial" w:eastAsia="DengXian" w:hAnsi="Arial" w:cs="Arial"/>
                <w:i/>
                <w:iCs/>
                <w:lang w:val="en-US" w:eastAsia="zh-CN"/>
              </w:rPr>
              <w:t xml:space="preserve">RAN2 respectfully requests SA4 to provide input on the appropriate range and granularity of uplink bit rates that need to be supported in the </w:t>
            </w:r>
            <w:proofErr w:type="gramStart"/>
            <w:r w:rsidRPr="00013887">
              <w:rPr>
                <w:rFonts w:ascii="Arial" w:eastAsia="DengXian" w:hAnsi="Arial" w:cs="Arial"/>
                <w:i/>
                <w:iCs/>
                <w:lang w:val="en-US" w:eastAsia="zh-CN"/>
              </w:rPr>
              <w:t>aforementioned signaling</w:t>
            </w:r>
            <w:proofErr w:type="gramEnd"/>
            <w:r w:rsidRPr="00013887">
              <w:rPr>
                <w:rFonts w:ascii="Arial" w:eastAsia="DengXian" w:hAnsi="Arial" w:cs="Arial"/>
                <w:i/>
                <w:iCs/>
                <w:lang w:val="en-US" w:eastAsia="zh-CN"/>
              </w:rPr>
              <w:t xml:space="preserve"> enhancements.</w:t>
            </w:r>
          </w:p>
          <w:p w14:paraId="424462C7"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p>
          <w:p w14:paraId="548E3665"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 xml:space="preserve">The SA4 reply is as follows: </w:t>
            </w:r>
          </w:p>
          <w:p w14:paraId="6EC9B32E"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w:t>
            </w:r>
          </w:p>
          <w:p w14:paraId="55BC2B17" w14:textId="38969EF0" w:rsidR="003337DA"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w:t>
            </w:r>
            <w:bookmarkEnd w:id="0"/>
            <w:bookmarkEnd w:id="1"/>
          </w:p>
        </w:tc>
      </w:tr>
    </w:tbl>
    <w:p w14:paraId="0D857617" w14:textId="77777777" w:rsidR="003337DA" w:rsidRDefault="003337DA" w:rsidP="00925D25"/>
    <w:p w14:paraId="7D484B6E" w14:textId="2441D7C2" w:rsidR="009339CB" w:rsidRPr="006E13D1" w:rsidRDefault="009339CB" w:rsidP="009339CB">
      <w:pPr>
        <w:pStyle w:val="Heading1"/>
      </w:pPr>
      <w:r w:rsidRPr="006E13D1">
        <w:lastRenderedPageBreak/>
        <w:t>2</w:t>
      </w:r>
      <w:r w:rsidRPr="006E13D1">
        <w:tab/>
      </w:r>
      <w:r w:rsidR="00EF0394">
        <w:t>Discussion</w:t>
      </w:r>
    </w:p>
    <w:p w14:paraId="55615459" w14:textId="7CD2786B" w:rsidR="00925D25" w:rsidRDefault="00925D25" w:rsidP="00925D25">
      <w:pPr>
        <w:pStyle w:val="Heading2"/>
        <w:rPr>
          <w:lang w:val="en-US"/>
        </w:rPr>
      </w:pPr>
      <w:r>
        <w:rPr>
          <w:lang w:val="en-US"/>
        </w:rPr>
        <w:t>2.1</w:t>
      </w:r>
      <w:r>
        <w:rPr>
          <w:lang w:val="en-US"/>
        </w:rPr>
        <w:tab/>
      </w:r>
      <w:r w:rsidR="003909E9">
        <w:rPr>
          <w:lang w:val="en-US"/>
        </w:rPr>
        <w:t>Indication granularity</w:t>
      </w:r>
    </w:p>
    <w:p w14:paraId="1EB91035" w14:textId="66288DE9" w:rsidR="00925D25" w:rsidRDefault="006E7146" w:rsidP="00925D25">
      <w:pPr>
        <w:rPr>
          <w:lang w:val="en-US"/>
        </w:rPr>
      </w:pPr>
      <w:r>
        <w:rPr>
          <w:lang w:val="en-US"/>
        </w:rPr>
        <w:t xml:space="preserve">In the RAN2#127-Bis meeting, it was discussed whether the </w:t>
      </w:r>
      <w:r w:rsidR="00BF42B6">
        <w:rPr>
          <w:lang w:val="en-US"/>
        </w:rPr>
        <w:t>UL congestion signaling granularity should be on a per DRB or per QoS flow level</w:t>
      </w:r>
      <w:r w:rsidR="00D55572">
        <w:rPr>
          <w:lang w:val="en-US"/>
        </w:rPr>
        <w:t>, while interworking with L4S (which works in QoS flow level) was to be considered as well.</w:t>
      </w:r>
      <w:r w:rsidR="00EE3F04">
        <w:rPr>
          <w:lang w:val="en-US"/>
        </w:rPr>
        <w:t xml:space="preserve"> RAN2#128 further agreed the rate indication can be per QoS flow but left FFS whether such indication is provided over MAC or RRC signaling.</w:t>
      </w:r>
      <w:r w:rsidR="006D714C">
        <w:rPr>
          <w:lang w:val="en-US"/>
        </w:rPr>
        <w:t xml:space="preserve"> </w:t>
      </w:r>
      <w:r w:rsidR="00C35A20">
        <w:rPr>
          <w:lang w:val="en-US"/>
        </w:rPr>
        <w:t xml:space="preserve">Since RAN plenary agreed the congestion signaling to be at the MAC layer in the RAN, it seems </w:t>
      </w:r>
      <w:r w:rsidR="009B3A83">
        <w:rPr>
          <w:lang w:val="en-US"/>
        </w:rPr>
        <w:t>simplest to use the per DRB/logical channel</w:t>
      </w:r>
      <w:r w:rsidR="006C6FA2">
        <w:rPr>
          <w:lang w:val="en-US"/>
        </w:rPr>
        <w:t xml:space="preserve"> (LCH)</w:t>
      </w:r>
      <w:r w:rsidR="009B3A83">
        <w:rPr>
          <w:lang w:val="en-US"/>
        </w:rPr>
        <w:t xml:space="preserve"> granularity which is what the MAC sees today. </w:t>
      </w:r>
      <w:r w:rsidR="00BA41D2">
        <w:rPr>
          <w:lang w:val="en-US"/>
        </w:rPr>
        <w:t xml:space="preserve">Considering in </w:t>
      </w:r>
      <w:r w:rsidR="009B3A83">
        <w:rPr>
          <w:lang w:val="en-US"/>
        </w:rPr>
        <w:t>going to per QoS flow level</w:t>
      </w:r>
      <w:r w:rsidR="0026144F">
        <w:rPr>
          <w:lang w:val="en-US"/>
        </w:rPr>
        <w:t>, the signaling layer being the MAC could be easily questioned</w:t>
      </w:r>
      <w:r w:rsidR="002358E1">
        <w:rPr>
          <w:lang w:val="en-US"/>
        </w:rPr>
        <w:t>:</w:t>
      </w:r>
      <w:r w:rsidR="0026144F">
        <w:rPr>
          <w:lang w:val="en-US"/>
        </w:rPr>
        <w:t xml:space="preserve"> MAC does</w:t>
      </w:r>
      <w:r w:rsidR="00BA41D2">
        <w:rPr>
          <w:lang w:val="en-US"/>
        </w:rPr>
        <w:t xml:space="preserve"> not see QoS flows in neither the UE nor at the NW side</w:t>
      </w:r>
      <w:r w:rsidR="002358E1">
        <w:rPr>
          <w:lang w:val="en-US"/>
        </w:rPr>
        <w:t xml:space="preserve">; on the other hand, this would also require signaling support in F1 interface to </w:t>
      </w:r>
      <w:r w:rsidR="003865CF">
        <w:rPr>
          <w:lang w:val="en-US"/>
        </w:rPr>
        <w:t>make MAC layer aware of the congested QoS flow(s) in the NW.</w:t>
      </w:r>
      <w:r w:rsidR="00D5039E">
        <w:rPr>
          <w:lang w:val="en-US"/>
        </w:rPr>
        <w:t xml:space="preserve"> The RRC </w:t>
      </w:r>
      <w:r w:rsidR="00F51984">
        <w:rPr>
          <w:lang w:val="en-US"/>
        </w:rPr>
        <w:t>signaling can be used to configure which QoS flows to throttle on a per DRB basis.</w:t>
      </w:r>
      <w:r w:rsidR="00D93049">
        <w:rPr>
          <w:lang w:val="en-US"/>
        </w:rPr>
        <w:t xml:space="preserve"> If NW does not provide any configuration on QoS flows to throttle, it can be left to UE to throttle QoS flow(s) by implementation.</w:t>
      </w:r>
    </w:p>
    <w:p w14:paraId="6CFDF7C0" w14:textId="124BA0D4" w:rsidR="003865CF" w:rsidRDefault="003865CF" w:rsidP="00925D25">
      <w:pPr>
        <w:rPr>
          <w:lang w:val="en-US"/>
        </w:rPr>
      </w:pPr>
      <w:r>
        <w:rPr>
          <w:b/>
          <w:bCs/>
          <w:lang w:val="en-US"/>
        </w:rPr>
        <w:t xml:space="preserve">Observation: </w:t>
      </w:r>
      <w:r>
        <w:rPr>
          <w:lang w:val="en-US"/>
        </w:rPr>
        <w:t>MAC does no</w:t>
      </w:r>
      <w:r w:rsidR="00027F3B">
        <w:rPr>
          <w:lang w:val="en-US"/>
        </w:rPr>
        <w:t xml:space="preserve">t see QoS flow(s) in neither the UE nor the NW side, hence, supporting QoS flow level UL congestion signaling </w:t>
      </w:r>
      <w:r w:rsidR="001044DC">
        <w:rPr>
          <w:lang w:val="en-US"/>
        </w:rPr>
        <w:t>at MAC layer would require signaling support in F1 interface.</w:t>
      </w:r>
    </w:p>
    <w:p w14:paraId="729530BC" w14:textId="6225E09F" w:rsidR="00E16DB4" w:rsidRPr="006C6FA2" w:rsidRDefault="00E16DB4" w:rsidP="00925D25">
      <w:pPr>
        <w:rPr>
          <w:lang w:val="en-US"/>
        </w:rPr>
      </w:pPr>
      <w:r>
        <w:rPr>
          <w:b/>
          <w:bCs/>
          <w:lang w:val="en-US"/>
        </w:rPr>
        <w:t xml:space="preserve">Proposal 1: </w:t>
      </w:r>
      <w:r w:rsidR="006C6FA2">
        <w:rPr>
          <w:lang w:val="en-US"/>
        </w:rPr>
        <w:t xml:space="preserve">The UL congestion indication is </w:t>
      </w:r>
      <w:r w:rsidR="00E35EA9">
        <w:rPr>
          <w:lang w:val="en-US"/>
        </w:rPr>
        <w:t>signaled on a per DRB/LCH basis</w:t>
      </w:r>
      <w:r w:rsidR="00F51984">
        <w:rPr>
          <w:lang w:val="en-US"/>
        </w:rPr>
        <w:t xml:space="preserve"> by MAC CE</w:t>
      </w:r>
      <w:r w:rsidR="00DF0A71">
        <w:rPr>
          <w:lang w:val="en-US"/>
        </w:rPr>
        <w:t xml:space="preserve"> and RRC signaling is used to configure which QoS flows to throttle</w:t>
      </w:r>
      <w:r w:rsidR="009D5345">
        <w:rPr>
          <w:lang w:val="en-US"/>
        </w:rPr>
        <w:t xml:space="preserve"> on a per DRB basis</w:t>
      </w:r>
      <w:r w:rsidR="00E35EA9">
        <w:rPr>
          <w:lang w:val="en-US"/>
        </w:rPr>
        <w:t>.</w:t>
      </w:r>
    </w:p>
    <w:p w14:paraId="114249BA" w14:textId="15201C8F" w:rsidR="00E16DB4" w:rsidRDefault="00E16DB4" w:rsidP="00E16DB4">
      <w:pPr>
        <w:pStyle w:val="Heading2"/>
        <w:rPr>
          <w:lang w:val="en-US"/>
        </w:rPr>
      </w:pPr>
      <w:r>
        <w:rPr>
          <w:lang w:val="en-US"/>
        </w:rPr>
        <w:t>2.2</w:t>
      </w:r>
      <w:r>
        <w:rPr>
          <w:lang w:val="en-US"/>
        </w:rPr>
        <w:tab/>
      </w:r>
      <w:r w:rsidR="00C10D3B">
        <w:rPr>
          <w:lang w:val="en-US"/>
        </w:rPr>
        <w:t>UL congestion signaling options</w:t>
      </w:r>
    </w:p>
    <w:p w14:paraId="0CA8EB03" w14:textId="0AEFB2A9" w:rsidR="001C15C2" w:rsidRDefault="005D5BCD" w:rsidP="001C15C2">
      <w:pPr>
        <w:rPr>
          <w:lang w:val="en-US"/>
        </w:rPr>
      </w:pPr>
      <w:r>
        <w:rPr>
          <w:lang w:val="en-US"/>
        </w:rPr>
        <w:t>T</w:t>
      </w:r>
      <w:r w:rsidR="000F70FB">
        <w:rPr>
          <w:lang w:val="en-US"/>
        </w:rPr>
        <w:t>he Recommended Bit</w:t>
      </w:r>
      <w:r w:rsidR="005A588A">
        <w:rPr>
          <w:lang w:val="en-US"/>
        </w:rPr>
        <w:t xml:space="preserve"> Rate procedure has been supported since Rel-15</w:t>
      </w:r>
      <w:r>
        <w:rPr>
          <w:lang w:val="en-US"/>
        </w:rPr>
        <w:t xml:space="preserve">, and it can support the requirements of the UL congestion signaling in all other </w:t>
      </w:r>
      <w:r w:rsidR="00E27679">
        <w:rPr>
          <w:lang w:val="en-US"/>
        </w:rPr>
        <w:t>means,</w:t>
      </w:r>
      <w:r>
        <w:rPr>
          <w:lang w:val="en-US"/>
        </w:rPr>
        <w:t xml:space="preserve"> but the bit rate values</w:t>
      </w:r>
      <w:r w:rsidR="00E27679">
        <w:rPr>
          <w:lang w:val="en-US"/>
        </w:rPr>
        <w:t xml:space="preserve">. Hence, the Recommended Bit Rate procedure can be used for the </w:t>
      </w:r>
      <w:r w:rsidR="00C400C2">
        <w:rPr>
          <w:lang w:val="en-US"/>
        </w:rPr>
        <w:t>new congestion indication.</w:t>
      </w:r>
    </w:p>
    <w:p w14:paraId="5F0B7C02" w14:textId="5A60D182" w:rsidR="003657F9" w:rsidRDefault="003657F9" w:rsidP="003657F9">
      <w:pPr>
        <w:rPr>
          <w:bCs/>
        </w:rPr>
      </w:pPr>
      <w:r w:rsidRPr="000E2A05">
        <w:rPr>
          <w:b/>
        </w:rPr>
        <w:t xml:space="preserve">Proposal </w:t>
      </w:r>
      <w:r w:rsidR="00865D86">
        <w:rPr>
          <w:b/>
        </w:rPr>
        <w:t>2</w:t>
      </w:r>
      <w:r w:rsidRPr="000E2A05">
        <w:rPr>
          <w:b/>
        </w:rPr>
        <w:t>:</w:t>
      </w:r>
      <w:r>
        <w:rPr>
          <w:b/>
        </w:rPr>
        <w:t xml:space="preserve"> </w:t>
      </w:r>
      <w:r w:rsidR="00E37289">
        <w:rPr>
          <w:bCs/>
        </w:rPr>
        <w:t>The Recommended Bit Rate procedure is used for the UL congestion signaling.</w:t>
      </w:r>
    </w:p>
    <w:p w14:paraId="22A34D81" w14:textId="5DC44918" w:rsidR="00E37289" w:rsidRDefault="00CF6CF9" w:rsidP="003657F9">
      <w:pPr>
        <w:rPr>
          <w:bCs/>
        </w:rPr>
      </w:pPr>
      <w:r>
        <w:rPr>
          <w:bCs/>
        </w:rPr>
        <w:t xml:space="preserve">The Recommended Bit Rate MAC CE </w:t>
      </w:r>
      <w:r w:rsidR="00302C7B">
        <w:rPr>
          <w:bCs/>
        </w:rPr>
        <w:t>is specified as follows (TS 38.321):</w:t>
      </w:r>
    </w:p>
    <w:tbl>
      <w:tblPr>
        <w:tblStyle w:val="TableGrid"/>
        <w:tblW w:w="0" w:type="auto"/>
        <w:tblLook w:val="04A0" w:firstRow="1" w:lastRow="0" w:firstColumn="1" w:lastColumn="0" w:noHBand="0" w:noVBand="1"/>
      </w:tblPr>
      <w:tblGrid>
        <w:gridCol w:w="9631"/>
      </w:tblGrid>
      <w:tr w:rsidR="00482E34" w14:paraId="41FD189F" w14:textId="77777777" w:rsidTr="00C51BBA">
        <w:tc>
          <w:tcPr>
            <w:tcW w:w="9631" w:type="dxa"/>
            <w:shd w:val="clear" w:color="auto" w:fill="F2F2F2" w:themeFill="background1" w:themeFillShade="F2"/>
          </w:tcPr>
          <w:p w14:paraId="474E1314" w14:textId="77777777" w:rsidR="005F0EE1" w:rsidRPr="005F0EE1" w:rsidRDefault="005F0EE1" w:rsidP="005F0EE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2" w:name="_Toc29239898"/>
            <w:bookmarkStart w:id="3" w:name="_Toc37296297"/>
            <w:bookmarkStart w:id="4" w:name="_Toc46490428"/>
            <w:bookmarkStart w:id="5" w:name="_Toc52752123"/>
            <w:bookmarkStart w:id="6" w:name="_Toc52796585"/>
            <w:bookmarkStart w:id="7" w:name="_Toc171706512"/>
            <w:r w:rsidRPr="005F0EE1">
              <w:rPr>
                <w:rFonts w:ascii="Arial" w:eastAsia="Times New Roman" w:hAnsi="Arial"/>
                <w:noProof/>
                <w:sz w:val="24"/>
                <w:lang w:eastAsia="ja-JP"/>
              </w:rPr>
              <w:lastRenderedPageBreak/>
              <w:t>6.1.3.</w:t>
            </w:r>
            <w:r w:rsidRPr="005F0EE1">
              <w:rPr>
                <w:rFonts w:ascii="Arial" w:eastAsia="Times New Roman" w:hAnsi="Arial"/>
                <w:noProof/>
                <w:sz w:val="24"/>
                <w:lang w:eastAsia="zh-CN"/>
              </w:rPr>
              <w:t>20</w:t>
            </w:r>
            <w:r w:rsidRPr="005F0EE1">
              <w:rPr>
                <w:rFonts w:ascii="Arial" w:eastAsia="Times New Roman" w:hAnsi="Arial"/>
                <w:noProof/>
                <w:sz w:val="24"/>
                <w:lang w:eastAsia="ja-JP"/>
              </w:rPr>
              <w:tab/>
              <w:t>Recommended bit rate MAC CE</w:t>
            </w:r>
            <w:bookmarkEnd w:id="2"/>
            <w:bookmarkEnd w:id="3"/>
            <w:bookmarkEnd w:id="4"/>
            <w:bookmarkEnd w:id="5"/>
            <w:bookmarkEnd w:id="6"/>
            <w:bookmarkEnd w:id="7"/>
          </w:p>
          <w:p w14:paraId="193EC880" w14:textId="77777777" w:rsidR="005F0EE1" w:rsidRPr="005F0EE1" w:rsidRDefault="005F0EE1" w:rsidP="005F0EE1">
            <w:pPr>
              <w:overflowPunct w:val="0"/>
              <w:autoSpaceDE w:val="0"/>
              <w:autoSpaceDN w:val="0"/>
              <w:adjustRightInd w:val="0"/>
              <w:textAlignment w:val="baseline"/>
              <w:rPr>
                <w:rFonts w:eastAsia="Times New Roman"/>
                <w:noProof/>
                <w:lang w:eastAsia="ja-JP"/>
              </w:rPr>
            </w:pPr>
            <w:r w:rsidRPr="005F0EE1">
              <w:rPr>
                <w:rFonts w:eastAsia="Times New Roman"/>
                <w:noProof/>
                <w:lang w:eastAsia="ja-JP"/>
              </w:rPr>
              <w:t>The Recommended bit rate MAC CE is identified by a MAC subheader with LCID as specified in Tables 6.2.1-1 and 6.2.1-2 for bit rate recommendation message from the gNB to the UE and bit rate recommendation query message from the UE to the gNB, respectively. It</w:t>
            </w:r>
            <w:r w:rsidRPr="005F0EE1">
              <w:rPr>
                <w:rFonts w:eastAsia="Times New Roman"/>
                <w:lang w:eastAsia="ja-JP"/>
              </w:rPr>
              <w:t xml:space="preserve"> has a fixed size and consists of two octets defined as follows (Figure 6.1.3.20-1):</w:t>
            </w:r>
          </w:p>
          <w:p w14:paraId="189E8F00"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r>
            <w:r w:rsidRPr="005F0EE1">
              <w:rPr>
                <w:rFonts w:eastAsia="Times New Roman"/>
                <w:noProof/>
                <w:lang w:eastAsia="zh-CN"/>
              </w:rPr>
              <w:t>LCID: This field indicates the identity of the logical channel for which the recommended bit rate or the recommended bit rate query is applicable. The length of the field is 6 bits;</w:t>
            </w:r>
          </w:p>
          <w:p w14:paraId="15E0A4D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 xml:space="preserve">Uplink/Downlink (UL/DL): This field indicates whether the recommended bit rate </w:t>
            </w:r>
            <w:r w:rsidRPr="005F0EE1">
              <w:rPr>
                <w:rFonts w:eastAsia="Times New Roman"/>
                <w:noProof/>
                <w:lang w:eastAsia="zh-CN"/>
              </w:rPr>
              <w:t xml:space="preserve">or the recommended bit rate query </w:t>
            </w:r>
            <w:r w:rsidRPr="005F0EE1">
              <w:rPr>
                <w:rFonts w:eastAsia="Times New Roman"/>
                <w:lang w:eastAsia="ja-JP"/>
              </w:rPr>
              <w:t xml:space="preserve">applies to uplink or downlink. The length of the field is 1 bit. </w:t>
            </w:r>
            <w:r w:rsidRPr="005F0EE1">
              <w:rPr>
                <w:rFonts w:eastAsia="Times New Roman"/>
                <w:noProof/>
                <w:lang w:eastAsia="ja-JP"/>
              </w:rPr>
              <w:t>The UL/DL field set to 0 indicates downlink. The UL/DL field set to 1 indicates uplink;</w:t>
            </w:r>
          </w:p>
          <w:p w14:paraId="66202AD6"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lang w:eastAsia="ja-JP"/>
              </w:rPr>
              <w:t>-</w:t>
            </w:r>
            <w:r w:rsidRPr="005F0EE1">
              <w:rPr>
                <w:rFonts w:eastAsia="Times New Roman"/>
                <w:lang w:eastAsia="ja-JP"/>
              </w:rPr>
              <w:tab/>
              <w:t>Bit Rate: This field indicates an index to Table 6.1.3.</w:t>
            </w:r>
            <w:r w:rsidRPr="005F0EE1">
              <w:rPr>
                <w:rFonts w:eastAsia="Times New Roman"/>
                <w:lang w:eastAsia="zh-CN"/>
              </w:rPr>
              <w:t>20</w:t>
            </w:r>
            <w:r w:rsidRPr="005F0EE1">
              <w:rPr>
                <w:rFonts w:eastAsia="Times New Roman"/>
                <w:lang w:eastAsia="ja-JP"/>
              </w:rPr>
              <w:t xml:space="preserve">-1. The length of the field is 6 bits. For bit </w:t>
            </w:r>
            <w:r w:rsidRPr="005F0EE1">
              <w:rPr>
                <w:rFonts w:eastAsia="Times New Roman"/>
                <w:noProof/>
                <w:lang w:eastAsia="ja-JP"/>
              </w:rPr>
              <w:t>rate recommendation the value indicates the recommended bit rate. For bit rate recommendation query the value indicates the desired bit rate;</w:t>
            </w:r>
          </w:p>
          <w:p w14:paraId="7B183B11"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noProof/>
                <w:lang w:eastAsia="ja-JP"/>
              </w:rPr>
              <w:t>-</w:t>
            </w:r>
            <w:r w:rsidRPr="005F0EE1">
              <w:rPr>
                <w:rFonts w:eastAsia="Times New Roman"/>
                <w:noProof/>
                <w:lang w:eastAsia="ja-JP"/>
              </w:rPr>
              <w:tab/>
              <w:t xml:space="preserve">X: Bit rate multiplier. For UEs supporting recommended bit rate multiplier, when </w:t>
            </w:r>
            <w:r w:rsidRPr="005F0EE1">
              <w:rPr>
                <w:rFonts w:eastAsia="Times New Roman"/>
                <w:i/>
                <w:iCs/>
                <w:noProof/>
                <w:lang w:eastAsia="ja-JP"/>
              </w:rPr>
              <w:t>bitRateMultiplier</w:t>
            </w:r>
            <w:r w:rsidRPr="005F0EE1">
              <w:rPr>
                <w:rFonts w:eastAsia="Times New Roman"/>
                <w:noProof/>
                <w:lang w:eastAsia="ja-JP"/>
              </w:rPr>
              <w:t xml:space="preserve"> is configured for the logical channel indicated by LCID field, X field set to 1 indicates the actual value of bit rate is the value corresponding to the index indicated by the Bit Rate field multiplied by </w:t>
            </w:r>
            <w:r w:rsidRPr="005F0EE1">
              <w:rPr>
                <w:rFonts w:eastAsia="Times New Roman"/>
                <w:i/>
                <w:iCs/>
                <w:noProof/>
                <w:lang w:eastAsia="ja-JP"/>
              </w:rPr>
              <w:t>bitRateMultiplier</w:t>
            </w:r>
            <w:r w:rsidRPr="005F0EE1">
              <w:rPr>
                <w:rFonts w:eastAsia="Times New Roman"/>
                <w:noProof/>
                <w:lang w:eastAsia="ja-JP"/>
              </w:rPr>
              <w:t xml:space="preserve"> as specified in TS 38.331 [5].</w:t>
            </w:r>
          </w:p>
          <w:p w14:paraId="6B9EE78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R: reserved bit, set to 0.</w:t>
            </w:r>
          </w:p>
          <w:p w14:paraId="4A24CC55" w14:textId="77777777" w:rsidR="005F0EE1" w:rsidRPr="005F0EE1" w:rsidRDefault="005F0EE1" w:rsidP="005F0EE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eastAsia="Times New Roman"/>
                <w:b/>
              </w:rPr>
              <w:object w:dxaOrig="5685" w:dyaOrig="1590" w14:anchorId="767D7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9.5pt" o:ole="">
                  <v:imagedata r:id="rId11" o:title=""/>
                </v:shape>
                <o:OLEObject Type="Embed" ProgID="Visio.Drawing.15" ShapeID="_x0000_i1025" DrawAspect="Content" ObjectID="_1800350316" r:id="rId12"/>
              </w:object>
            </w:r>
          </w:p>
          <w:p w14:paraId="43557F2F" w14:textId="7B6C397B" w:rsidR="00482E34" w:rsidRPr="00730A3F" w:rsidRDefault="005F0EE1" w:rsidP="00730A3F">
            <w:pPr>
              <w:keepLines/>
              <w:overflowPunct w:val="0"/>
              <w:autoSpaceDE w:val="0"/>
              <w:autoSpaceDN w:val="0"/>
              <w:adjustRightInd w:val="0"/>
              <w:spacing w:after="240"/>
              <w:jc w:val="center"/>
              <w:textAlignment w:val="baseline"/>
              <w:rPr>
                <w:rFonts w:ascii="Arial" w:eastAsia="Times New Roman" w:hAnsi="Arial"/>
                <w:b/>
                <w:lang w:eastAsia="ja-JP"/>
              </w:rPr>
            </w:pPr>
            <w:r w:rsidRPr="005F0EE1">
              <w:rPr>
                <w:rFonts w:ascii="Arial" w:eastAsia="Times New Roman" w:hAnsi="Arial"/>
                <w:b/>
                <w:lang w:eastAsia="ja-JP"/>
              </w:rPr>
              <w:t>Figure 6.1.3.</w:t>
            </w:r>
            <w:r w:rsidRPr="005F0EE1">
              <w:rPr>
                <w:rFonts w:ascii="Arial" w:eastAsia="Times New Roman" w:hAnsi="Arial"/>
                <w:b/>
                <w:lang w:eastAsia="zh-CN"/>
              </w:rPr>
              <w:t>20</w:t>
            </w:r>
            <w:r w:rsidRPr="005F0EE1">
              <w:rPr>
                <w:rFonts w:ascii="Arial" w:eastAsia="Times New Roman" w:hAnsi="Arial"/>
                <w:b/>
                <w:lang w:eastAsia="ja-JP"/>
              </w:rPr>
              <w:t>-1: Recommended bit rate MAC CE</w:t>
            </w:r>
          </w:p>
        </w:tc>
      </w:tr>
    </w:tbl>
    <w:p w14:paraId="72D0A733" w14:textId="5C22AA14" w:rsidR="005F0EE1" w:rsidRDefault="005F0EE1" w:rsidP="003657F9">
      <w:pPr>
        <w:rPr>
          <w:bCs/>
        </w:rPr>
      </w:pPr>
    </w:p>
    <w:tbl>
      <w:tblPr>
        <w:tblStyle w:val="TableGrid"/>
        <w:tblW w:w="0" w:type="auto"/>
        <w:tblLook w:val="04A0" w:firstRow="1" w:lastRow="0" w:firstColumn="1" w:lastColumn="0" w:noHBand="0" w:noVBand="1"/>
      </w:tblPr>
      <w:tblGrid>
        <w:gridCol w:w="9631"/>
      </w:tblGrid>
      <w:tr w:rsidR="00730A3F" w14:paraId="27C97DD8" w14:textId="77777777" w:rsidTr="00730A3F">
        <w:tc>
          <w:tcPr>
            <w:tcW w:w="9631" w:type="dxa"/>
            <w:shd w:val="clear" w:color="auto" w:fill="F2F2F2" w:themeFill="background1" w:themeFillShade="F2"/>
          </w:tcPr>
          <w:p w14:paraId="77BB1E3B" w14:textId="77777777" w:rsidR="00730A3F" w:rsidRPr="005F0EE1" w:rsidRDefault="00730A3F" w:rsidP="00730A3F">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ascii="Arial" w:eastAsia="Times New Roman" w:hAnsi="Arial"/>
                <w:b/>
                <w:lang w:eastAsia="ja-JP"/>
              </w:rPr>
              <w:lastRenderedPageBreak/>
              <w:t>Table 6.1.3.</w:t>
            </w:r>
            <w:r w:rsidRPr="005F0EE1">
              <w:rPr>
                <w:rFonts w:ascii="Arial" w:eastAsia="Times New Roman" w:hAnsi="Arial"/>
                <w:b/>
                <w:lang w:eastAsia="zh-CN"/>
              </w:rPr>
              <w:t>20</w:t>
            </w:r>
            <w:r w:rsidRPr="005F0EE1">
              <w:rPr>
                <w:rFonts w:ascii="Arial" w:eastAsia="Times New Roman" w:hAnsi="Arial"/>
                <w:b/>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730A3F" w:rsidRPr="005F0EE1" w14:paraId="0577B3BF" w14:textId="77777777" w:rsidTr="006B76A3">
              <w:trPr>
                <w:jc w:val="center"/>
              </w:trPr>
              <w:tc>
                <w:tcPr>
                  <w:tcW w:w="781" w:type="dxa"/>
                  <w:shd w:val="clear" w:color="auto" w:fill="auto"/>
                </w:tcPr>
                <w:p w14:paraId="6083C7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607" w:type="dxa"/>
                </w:tcPr>
                <w:p w14:paraId="3A9746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c>
                <w:tcPr>
                  <w:tcW w:w="850" w:type="dxa"/>
                  <w:shd w:val="clear" w:color="auto" w:fill="auto"/>
                </w:tcPr>
                <w:p w14:paraId="586FAE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538" w:type="dxa"/>
                </w:tcPr>
                <w:p w14:paraId="4F94406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r>
            <w:tr w:rsidR="00730A3F" w:rsidRPr="005F0EE1" w14:paraId="1D2CAF0F" w14:textId="77777777" w:rsidTr="006B76A3">
              <w:trPr>
                <w:trHeight w:val="170"/>
                <w:jc w:val="center"/>
              </w:trPr>
              <w:tc>
                <w:tcPr>
                  <w:tcW w:w="781" w:type="dxa"/>
                  <w:shd w:val="clear" w:color="auto" w:fill="auto"/>
                </w:tcPr>
                <w:p w14:paraId="5C37515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0</w:t>
                  </w:r>
                </w:p>
              </w:tc>
              <w:tc>
                <w:tcPr>
                  <w:tcW w:w="1607" w:type="dxa"/>
                </w:tcPr>
                <w:p w14:paraId="513793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noProof/>
                      <w:sz w:val="18"/>
                      <w:lang w:eastAsia="zh-CN"/>
                    </w:rPr>
                  </w:pPr>
                  <w:r w:rsidRPr="005F0EE1">
                    <w:rPr>
                      <w:rFonts w:ascii="Arial" w:eastAsia="Times New Roman" w:hAnsi="Arial" w:cs="Arial"/>
                      <w:noProof/>
                      <w:sz w:val="18"/>
                      <w:lang w:eastAsia="zh-CN"/>
                    </w:rPr>
                    <w:t>Note 1</w:t>
                  </w:r>
                </w:p>
              </w:tc>
              <w:tc>
                <w:tcPr>
                  <w:tcW w:w="850" w:type="dxa"/>
                  <w:shd w:val="clear" w:color="auto" w:fill="auto"/>
                </w:tcPr>
                <w:p w14:paraId="5C2A1CD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32</w:t>
                  </w:r>
                </w:p>
              </w:tc>
              <w:tc>
                <w:tcPr>
                  <w:tcW w:w="1538" w:type="dxa"/>
                  <w:vAlign w:val="bottom"/>
                </w:tcPr>
                <w:p w14:paraId="56A1EDC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700</w:t>
                  </w:r>
                </w:p>
              </w:tc>
            </w:tr>
            <w:tr w:rsidR="00730A3F" w:rsidRPr="005F0EE1" w14:paraId="11DE5F64" w14:textId="77777777" w:rsidTr="006B76A3">
              <w:trPr>
                <w:trHeight w:val="170"/>
                <w:jc w:val="center"/>
              </w:trPr>
              <w:tc>
                <w:tcPr>
                  <w:tcW w:w="781" w:type="dxa"/>
                  <w:shd w:val="clear" w:color="auto" w:fill="auto"/>
                </w:tcPr>
                <w:p w14:paraId="5644A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1</w:t>
                  </w:r>
                </w:p>
              </w:tc>
              <w:tc>
                <w:tcPr>
                  <w:tcW w:w="1607" w:type="dxa"/>
                  <w:vAlign w:val="bottom"/>
                </w:tcPr>
                <w:p w14:paraId="22D1CD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zh-CN"/>
                    </w:rPr>
                    <w:t>0</w:t>
                  </w:r>
                </w:p>
              </w:tc>
              <w:tc>
                <w:tcPr>
                  <w:tcW w:w="850" w:type="dxa"/>
                  <w:shd w:val="clear" w:color="auto" w:fill="auto"/>
                </w:tcPr>
                <w:p w14:paraId="65BABE4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33</w:t>
                  </w:r>
                </w:p>
              </w:tc>
              <w:tc>
                <w:tcPr>
                  <w:tcW w:w="1538" w:type="dxa"/>
                  <w:vAlign w:val="bottom"/>
                </w:tcPr>
                <w:p w14:paraId="48236B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800</w:t>
                  </w:r>
                </w:p>
              </w:tc>
            </w:tr>
            <w:tr w:rsidR="00730A3F" w:rsidRPr="005F0EE1" w14:paraId="4A19E0F5" w14:textId="77777777" w:rsidTr="006B76A3">
              <w:trPr>
                <w:trHeight w:val="170"/>
                <w:jc w:val="center"/>
              </w:trPr>
              <w:tc>
                <w:tcPr>
                  <w:tcW w:w="781" w:type="dxa"/>
                </w:tcPr>
                <w:p w14:paraId="1AFE4AC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2</w:t>
                  </w:r>
                </w:p>
              </w:tc>
              <w:tc>
                <w:tcPr>
                  <w:tcW w:w="1607" w:type="dxa"/>
                  <w:vAlign w:val="bottom"/>
                </w:tcPr>
                <w:p w14:paraId="2887B12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w:t>
                  </w:r>
                </w:p>
              </w:tc>
              <w:tc>
                <w:tcPr>
                  <w:tcW w:w="850" w:type="dxa"/>
                  <w:shd w:val="clear" w:color="auto" w:fill="auto"/>
                </w:tcPr>
                <w:p w14:paraId="78A2E3A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34</w:t>
                  </w:r>
                </w:p>
              </w:tc>
              <w:tc>
                <w:tcPr>
                  <w:tcW w:w="1538" w:type="dxa"/>
                  <w:vAlign w:val="bottom"/>
                </w:tcPr>
                <w:p w14:paraId="1C036A8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900</w:t>
                  </w:r>
                </w:p>
              </w:tc>
            </w:tr>
            <w:tr w:rsidR="00730A3F" w:rsidRPr="005F0EE1" w14:paraId="44810B65" w14:textId="77777777" w:rsidTr="006B76A3">
              <w:trPr>
                <w:trHeight w:val="170"/>
                <w:jc w:val="center"/>
              </w:trPr>
              <w:tc>
                <w:tcPr>
                  <w:tcW w:w="781" w:type="dxa"/>
                </w:tcPr>
                <w:p w14:paraId="5DD7E7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w:t>
                  </w:r>
                </w:p>
              </w:tc>
              <w:tc>
                <w:tcPr>
                  <w:tcW w:w="1607" w:type="dxa"/>
                  <w:vAlign w:val="bottom"/>
                </w:tcPr>
                <w:p w14:paraId="3EE38F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w:t>
                  </w:r>
                </w:p>
              </w:tc>
              <w:tc>
                <w:tcPr>
                  <w:tcW w:w="850" w:type="dxa"/>
                  <w:shd w:val="clear" w:color="auto" w:fill="auto"/>
                </w:tcPr>
                <w:p w14:paraId="3B1011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35</w:t>
                  </w:r>
                </w:p>
              </w:tc>
              <w:tc>
                <w:tcPr>
                  <w:tcW w:w="1538" w:type="dxa"/>
                  <w:vAlign w:val="bottom"/>
                </w:tcPr>
                <w:p w14:paraId="7283C74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1000</w:t>
                  </w:r>
                </w:p>
              </w:tc>
            </w:tr>
            <w:tr w:rsidR="00730A3F" w:rsidRPr="005F0EE1" w14:paraId="6535375B" w14:textId="77777777" w:rsidTr="006B76A3">
              <w:trPr>
                <w:trHeight w:val="170"/>
                <w:jc w:val="center"/>
              </w:trPr>
              <w:tc>
                <w:tcPr>
                  <w:tcW w:w="781" w:type="dxa"/>
                </w:tcPr>
                <w:p w14:paraId="259EED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w:t>
                  </w:r>
                </w:p>
              </w:tc>
              <w:tc>
                <w:tcPr>
                  <w:tcW w:w="1607" w:type="dxa"/>
                  <w:vAlign w:val="bottom"/>
                </w:tcPr>
                <w:p w14:paraId="5D07FA6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w:t>
                  </w:r>
                </w:p>
              </w:tc>
              <w:tc>
                <w:tcPr>
                  <w:tcW w:w="850" w:type="dxa"/>
                  <w:shd w:val="clear" w:color="auto" w:fill="auto"/>
                </w:tcPr>
                <w:p w14:paraId="161DAF3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36</w:t>
                  </w:r>
                </w:p>
              </w:tc>
              <w:tc>
                <w:tcPr>
                  <w:tcW w:w="1538" w:type="dxa"/>
                  <w:vAlign w:val="bottom"/>
                </w:tcPr>
                <w:p w14:paraId="0BD77F2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1100</w:t>
                  </w:r>
                </w:p>
              </w:tc>
            </w:tr>
            <w:tr w:rsidR="00730A3F" w:rsidRPr="005F0EE1" w14:paraId="5985BCC7" w14:textId="77777777" w:rsidTr="006B76A3">
              <w:trPr>
                <w:trHeight w:val="170"/>
                <w:jc w:val="center"/>
              </w:trPr>
              <w:tc>
                <w:tcPr>
                  <w:tcW w:w="781" w:type="dxa"/>
                </w:tcPr>
                <w:p w14:paraId="45998F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w:t>
                  </w:r>
                </w:p>
              </w:tc>
              <w:tc>
                <w:tcPr>
                  <w:tcW w:w="1607" w:type="dxa"/>
                  <w:vAlign w:val="bottom"/>
                </w:tcPr>
                <w:p w14:paraId="2F22FB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w:t>
                  </w:r>
                </w:p>
              </w:tc>
              <w:tc>
                <w:tcPr>
                  <w:tcW w:w="850" w:type="dxa"/>
                  <w:shd w:val="clear" w:color="auto" w:fill="auto"/>
                </w:tcPr>
                <w:p w14:paraId="6C16CA0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37</w:t>
                  </w:r>
                </w:p>
              </w:tc>
              <w:tc>
                <w:tcPr>
                  <w:tcW w:w="1538" w:type="dxa"/>
                  <w:vAlign w:val="bottom"/>
                </w:tcPr>
                <w:p w14:paraId="4150F2F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1200</w:t>
                  </w:r>
                </w:p>
              </w:tc>
            </w:tr>
            <w:tr w:rsidR="00730A3F" w:rsidRPr="005F0EE1" w14:paraId="68C1B688" w14:textId="77777777" w:rsidTr="006B76A3">
              <w:trPr>
                <w:trHeight w:val="170"/>
                <w:jc w:val="center"/>
              </w:trPr>
              <w:tc>
                <w:tcPr>
                  <w:tcW w:w="781" w:type="dxa"/>
                </w:tcPr>
                <w:p w14:paraId="7AA810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w:t>
                  </w:r>
                </w:p>
              </w:tc>
              <w:tc>
                <w:tcPr>
                  <w:tcW w:w="1607" w:type="dxa"/>
                  <w:vAlign w:val="bottom"/>
                </w:tcPr>
                <w:p w14:paraId="1C8778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21</w:t>
                  </w:r>
                </w:p>
              </w:tc>
              <w:tc>
                <w:tcPr>
                  <w:tcW w:w="850" w:type="dxa"/>
                  <w:shd w:val="clear" w:color="auto" w:fill="auto"/>
                </w:tcPr>
                <w:p w14:paraId="141D14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38</w:t>
                  </w:r>
                </w:p>
              </w:tc>
              <w:tc>
                <w:tcPr>
                  <w:tcW w:w="1538" w:type="dxa"/>
                  <w:vAlign w:val="bottom"/>
                </w:tcPr>
                <w:p w14:paraId="3AA1B5A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1300</w:t>
                  </w:r>
                </w:p>
              </w:tc>
            </w:tr>
            <w:tr w:rsidR="00730A3F" w:rsidRPr="005F0EE1" w14:paraId="2BCF57C2" w14:textId="77777777" w:rsidTr="006B76A3">
              <w:trPr>
                <w:trHeight w:val="170"/>
                <w:jc w:val="center"/>
              </w:trPr>
              <w:tc>
                <w:tcPr>
                  <w:tcW w:w="781" w:type="dxa"/>
                </w:tcPr>
                <w:p w14:paraId="6A845F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7</w:t>
                  </w:r>
                </w:p>
              </w:tc>
              <w:tc>
                <w:tcPr>
                  <w:tcW w:w="1607" w:type="dxa"/>
                  <w:vAlign w:val="bottom"/>
                </w:tcPr>
                <w:p w14:paraId="734F2CD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w:t>
                  </w:r>
                </w:p>
              </w:tc>
              <w:tc>
                <w:tcPr>
                  <w:tcW w:w="850" w:type="dxa"/>
                  <w:shd w:val="clear" w:color="auto" w:fill="auto"/>
                </w:tcPr>
                <w:p w14:paraId="3F777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39</w:t>
                  </w:r>
                </w:p>
              </w:tc>
              <w:tc>
                <w:tcPr>
                  <w:tcW w:w="1538" w:type="dxa"/>
                  <w:vAlign w:val="bottom"/>
                </w:tcPr>
                <w:p w14:paraId="652732A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1400</w:t>
                  </w:r>
                </w:p>
              </w:tc>
            </w:tr>
            <w:tr w:rsidR="00730A3F" w:rsidRPr="005F0EE1" w14:paraId="31F39C0C" w14:textId="77777777" w:rsidTr="006B76A3">
              <w:trPr>
                <w:trHeight w:val="170"/>
                <w:jc w:val="center"/>
              </w:trPr>
              <w:tc>
                <w:tcPr>
                  <w:tcW w:w="781" w:type="dxa"/>
                </w:tcPr>
                <w:p w14:paraId="4C66899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8</w:t>
                  </w:r>
                </w:p>
              </w:tc>
              <w:tc>
                <w:tcPr>
                  <w:tcW w:w="1607" w:type="dxa"/>
                  <w:vAlign w:val="bottom"/>
                </w:tcPr>
                <w:p w14:paraId="14B83C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29</w:t>
                  </w:r>
                </w:p>
              </w:tc>
              <w:tc>
                <w:tcPr>
                  <w:tcW w:w="850" w:type="dxa"/>
                  <w:shd w:val="clear" w:color="auto" w:fill="auto"/>
                </w:tcPr>
                <w:p w14:paraId="7AEB013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40</w:t>
                  </w:r>
                </w:p>
              </w:tc>
              <w:tc>
                <w:tcPr>
                  <w:tcW w:w="1538" w:type="dxa"/>
                  <w:vAlign w:val="bottom"/>
                </w:tcPr>
                <w:p w14:paraId="24998E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1500</w:t>
                  </w:r>
                </w:p>
              </w:tc>
            </w:tr>
            <w:tr w:rsidR="00730A3F" w:rsidRPr="005F0EE1" w14:paraId="774FFB4C" w14:textId="77777777" w:rsidTr="006B76A3">
              <w:trPr>
                <w:trHeight w:val="170"/>
                <w:jc w:val="center"/>
              </w:trPr>
              <w:tc>
                <w:tcPr>
                  <w:tcW w:w="781" w:type="dxa"/>
                </w:tcPr>
                <w:p w14:paraId="69B64D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9</w:t>
                  </w:r>
                </w:p>
              </w:tc>
              <w:tc>
                <w:tcPr>
                  <w:tcW w:w="1607" w:type="dxa"/>
                  <w:vAlign w:val="bottom"/>
                </w:tcPr>
                <w:p w14:paraId="11D8679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32</w:t>
                  </w:r>
                </w:p>
              </w:tc>
              <w:tc>
                <w:tcPr>
                  <w:tcW w:w="850" w:type="dxa"/>
                  <w:shd w:val="clear" w:color="auto" w:fill="auto"/>
                </w:tcPr>
                <w:p w14:paraId="360A2A2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41</w:t>
                  </w:r>
                </w:p>
              </w:tc>
              <w:tc>
                <w:tcPr>
                  <w:tcW w:w="1538" w:type="dxa"/>
                  <w:vAlign w:val="bottom"/>
                </w:tcPr>
                <w:p w14:paraId="3EFFD30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1750</w:t>
                  </w:r>
                </w:p>
              </w:tc>
            </w:tr>
            <w:tr w:rsidR="00730A3F" w:rsidRPr="005F0EE1" w14:paraId="1DBF88AF" w14:textId="77777777" w:rsidTr="006B76A3">
              <w:trPr>
                <w:trHeight w:val="170"/>
                <w:jc w:val="center"/>
              </w:trPr>
              <w:tc>
                <w:tcPr>
                  <w:tcW w:w="781" w:type="dxa"/>
                </w:tcPr>
                <w:p w14:paraId="52689C8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10</w:t>
                  </w:r>
                </w:p>
              </w:tc>
              <w:tc>
                <w:tcPr>
                  <w:tcW w:w="1607" w:type="dxa"/>
                  <w:vAlign w:val="bottom"/>
                </w:tcPr>
                <w:p w14:paraId="124AB6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36</w:t>
                  </w:r>
                </w:p>
              </w:tc>
              <w:tc>
                <w:tcPr>
                  <w:tcW w:w="850" w:type="dxa"/>
                  <w:shd w:val="clear" w:color="auto" w:fill="auto"/>
                </w:tcPr>
                <w:p w14:paraId="574807D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42</w:t>
                  </w:r>
                </w:p>
              </w:tc>
              <w:tc>
                <w:tcPr>
                  <w:tcW w:w="1538" w:type="dxa"/>
                  <w:vAlign w:val="bottom"/>
                </w:tcPr>
                <w:p w14:paraId="0161BD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2000</w:t>
                  </w:r>
                </w:p>
              </w:tc>
            </w:tr>
            <w:tr w:rsidR="00730A3F" w:rsidRPr="005F0EE1" w14:paraId="0E68E1C3" w14:textId="77777777" w:rsidTr="006B76A3">
              <w:trPr>
                <w:trHeight w:val="170"/>
                <w:jc w:val="center"/>
              </w:trPr>
              <w:tc>
                <w:tcPr>
                  <w:tcW w:w="781" w:type="dxa"/>
                </w:tcPr>
                <w:p w14:paraId="57EB70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11</w:t>
                  </w:r>
                </w:p>
              </w:tc>
              <w:tc>
                <w:tcPr>
                  <w:tcW w:w="1607" w:type="dxa"/>
                  <w:vAlign w:val="bottom"/>
                </w:tcPr>
                <w:p w14:paraId="7E5241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w:t>
                  </w:r>
                </w:p>
              </w:tc>
              <w:tc>
                <w:tcPr>
                  <w:tcW w:w="850" w:type="dxa"/>
                  <w:shd w:val="clear" w:color="auto" w:fill="auto"/>
                </w:tcPr>
                <w:p w14:paraId="349634B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43</w:t>
                  </w:r>
                </w:p>
              </w:tc>
              <w:tc>
                <w:tcPr>
                  <w:tcW w:w="1538" w:type="dxa"/>
                  <w:vAlign w:val="bottom"/>
                </w:tcPr>
                <w:p w14:paraId="0172065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2250</w:t>
                  </w:r>
                </w:p>
              </w:tc>
            </w:tr>
            <w:tr w:rsidR="00730A3F" w:rsidRPr="005F0EE1" w14:paraId="2FF771FF" w14:textId="77777777" w:rsidTr="006B76A3">
              <w:trPr>
                <w:trHeight w:val="170"/>
                <w:jc w:val="center"/>
              </w:trPr>
              <w:tc>
                <w:tcPr>
                  <w:tcW w:w="781" w:type="dxa"/>
                </w:tcPr>
                <w:p w14:paraId="68A9C0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12</w:t>
                  </w:r>
                </w:p>
              </w:tc>
              <w:tc>
                <w:tcPr>
                  <w:tcW w:w="1607" w:type="dxa"/>
                  <w:vAlign w:val="bottom"/>
                </w:tcPr>
                <w:p w14:paraId="5340FE0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48</w:t>
                  </w:r>
                </w:p>
              </w:tc>
              <w:tc>
                <w:tcPr>
                  <w:tcW w:w="850" w:type="dxa"/>
                  <w:shd w:val="clear" w:color="auto" w:fill="auto"/>
                </w:tcPr>
                <w:p w14:paraId="7F5E191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44</w:t>
                  </w:r>
                </w:p>
              </w:tc>
              <w:tc>
                <w:tcPr>
                  <w:tcW w:w="1538" w:type="dxa"/>
                  <w:vAlign w:val="bottom"/>
                </w:tcPr>
                <w:p w14:paraId="57F6BE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2500</w:t>
                  </w:r>
                </w:p>
              </w:tc>
            </w:tr>
            <w:tr w:rsidR="00730A3F" w:rsidRPr="005F0EE1" w14:paraId="2D05B91E" w14:textId="77777777" w:rsidTr="006B76A3">
              <w:trPr>
                <w:trHeight w:val="170"/>
                <w:jc w:val="center"/>
              </w:trPr>
              <w:tc>
                <w:tcPr>
                  <w:tcW w:w="781" w:type="dxa"/>
                </w:tcPr>
                <w:p w14:paraId="42DD05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13</w:t>
                  </w:r>
                </w:p>
              </w:tc>
              <w:tc>
                <w:tcPr>
                  <w:tcW w:w="1607" w:type="dxa"/>
                  <w:vAlign w:val="bottom"/>
                </w:tcPr>
                <w:p w14:paraId="34202CC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56</w:t>
                  </w:r>
                </w:p>
              </w:tc>
              <w:tc>
                <w:tcPr>
                  <w:tcW w:w="850" w:type="dxa"/>
                  <w:shd w:val="clear" w:color="auto" w:fill="auto"/>
                </w:tcPr>
                <w:p w14:paraId="516228F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45</w:t>
                  </w:r>
                </w:p>
              </w:tc>
              <w:tc>
                <w:tcPr>
                  <w:tcW w:w="1538" w:type="dxa"/>
                  <w:vAlign w:val="bottom"/>
                </w:tcPr>
                <w:p w14:paraId="3DCAED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2750</w:t>
                  </w:r>
                </w:p>
              </w:tc>
            </w:tr>
            <w:tr w:rsidR="00730A3F" w:rsidRPr="005F0EE1" w14:paraId="69012BB0" w14:textId="77777777" w:rsidTr="006B76A3">
              <w:trPr>
                <w:trHeight w:val="170"/>
                <w:jc w:val="center"/>
              </w:trPr>
              <w:tc>
                <w:tcPr>
                  <w:tcW w:w="781" w:type="dxa"/>
                </w:tcPr>
                <w:p w14:paraId="4F9B6C2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14</w:t>
                  </w:r>
                </w:p>
              </w:tc>
              <w:tc>
                <w:tcPr>
                  <w:tcW w:w="1607" w:type="dxa"/>
                  <w:vAlign w:val="bottom"/>
                </w:tcPr>
                <w:p w14:paraId="189197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72</w:t>
                  </w:r>
                </w:p>
              </w:tc>
              <w:tc>
                <w:tcPr>
                  <w:tcW w:w="850" w:type="dxa"/>
                  <w:shd w:val="clear" w:color="auto" w:fill="auto"/>
                </w:tcPr>
                <w:p w14:paraId="246510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46</w:t>
                  </w:r>
                </w:p>
              </w:tc>
              <w:tc>
                <w:tcPr>
                  <w:tcW w:w="1538" w:type="dxa"/>
                  <w:vAlign w:val="bottom"/>
                </w:tcPr>
                <w:p w14:paraId="542D4D7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3000</w:t>
                  </w:r>
                </w:p>
              </w:tc>
            </w:tr>
            <w:tr w:rsidR="00730A3F" w:rsidRPr="005F0EE1" w14:paraId="10BA56DF" w14:textId="77777777" w:rsidTr="006B76A3">
              <w:trPr>
                <w:trHeight w:val="170"/>
                <w:jc w:val="center"/>
              </w:trPr>
              <w:tc>
                <w:tcPr>
                  <w:tcW w:w="781" w:type="dxa"/>
                </w:tcPr>
                <w:p w14:paraId="6CF5E2E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15</w:t>
                  </w:r>
                </w:p>
              </w:tc>
              <w:tc>
                <w:tcPr>
                  <w:tcW w:w="1607" w:type="dxa"/>
                  <w:vAlign w:val="bottom"/>
                </w:tcPr>
                <w:p w14:paraId="300E2A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88</w:t>
                  </w:r>
                </w:p>
              </w:tc>
              <w:tc>
                <w:tcPr>
                  <w:tcW w:w="850" w:type="dxa"/>
                  <w:shd w:val="clear" w:color="auto" w:fill="auto"/>
                </w:tcPr>
                <w:p w14:paraId="2A8183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47</w:t>
                  </w:r>
                </w:p>
              </w:tc>
              <w:tc>
                <w:tcPr>
                  <w:tcW w:w="1538" w:type="dxa"/>
                  <w:vAlign w:val="bottom"/>
                </w:tcPr>
                <w:p w14:paraId="459C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3500</w:t>
                  </w:r>
                </w:p>
              </w:tc>
            </w:tr>
            <w:tr w:rsidR="00730A3F" w:rsidRPr="005F0EE1" w14:paraId="43A4D6F3" w14:textId="77777777" w:rsidTr="006B76A3">
              <w:trPr>
                <w:trHeight w:val="170"/>
                <w:jc w:val="center"/>
              </w:trPr>
              <w:tc>
                <w:tcPr>
                  <w:tcW w:w="781" w:type="dxa"/>
                </w:tcPr>
                <w:p w14:paraId="57A361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16</w:t>
                  </w:r>
                </w:p>
              </w:tc>
              <w:tc>
                <w:tcPr>
                  <w:tcW w:w="1607" w:type="dxa"/>
                  <w:vAlign w:val="bottom"/>
                </w:tcPr>
                <w:p w14:paraId="31EC0FE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104</w:t>
                  </w:r>
                </w:p>
              </w:tc>
              <w:tc>
                <w:tcPr>
                  <w:tcW w:w="850" w:type="dxa"/>
                  <w:shd w:val="clear" w:color="auto" w:fill="auto"/>
                </w:tcPr>
                <w:p w14:paraId="482AD2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48</w:t>
                  </w:r>
                </w:p>
              </w:tc>
              <w:tc>
                <w:tcPr>
                  <w:tcW w:w="1538" w:type="dxa"/>
                  <w:vAlign w:val="bottom"/>
                </w:tcPr>
                <w:p w14:paraId="2DD0F0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4000</w:t>
                  </w:r>
                </w:p>
              </w:tc>
            </w:tr>
            <w:tr w:rsidR="00730A3F" w:rsidRPr="005F0EE1" w14:paraId="15E16B78" w14:textId="77777777" w:rsidTr="006B76A3">
              <w:trPr>
                <w:trHeight w:val="170"/>
                <w:jc w:val="center"/>
              </w:trPr>
              <w:tc>
                <w:tcPr>
                  <w:tcW w:w="781" w:type="dxa"/>
                  <w:shd w:val="clear" w:color="auto" w:fill="auto"/>
                </w:tcPr>
                <w:p w14:paraId="25D6EF1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17</w:t>
                  </w:r>
                </w:p>
              </w:tc>
              <w:tc>
                <w:tcPr>
                  <w:tcW w:w="1607" w:type="dxa"/>
                  <w:vAlign w:val="bottom"/>
                </w:tcPr>
                <w:p w14:paraId="419EEB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w:t>
                  </w:r>
                </w:p>
              </w:tc>
              <w:tc>
                <w:tcPr>
                  <w:tcW w:w="850" w:type="dxa"/>
                  <w:shd w:val="clear" w:color="auto" w:fill="auto"/>
                </w:tcPr>
                <w:p w14:paraId="08BA4C3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49</w:t>
                  </w:r>
                </w:p>
              </w:tc>
              <w:tc>
                <w:tcPr>
                  <w:tcW w:w="1538" w:type="dxa"/>
                  <w:vAlign w:val="bottom"/>
                </w:tcPr>
                <w:p w14:paraId="6E0A22A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4500</w:t>
                  </w:r>
                </w:p>
              </w:tc>
            </w:tr>
            <w:tr w:rsidR="00730A3F" w:rsidRPr="005F0EE1" w14:paraId="1FB503D0" w14:textId="77777777" w:rsidTr="006B76A3">
              <w:trPr>
                <w:trHeight w:val="170"/>
                <w:jc w:val="center"/>
              </w:trPr>
              <w:tc>
                <w:tcPr>
                  <w:tcW w:w="781" w:type="dxa"/>
                  <w:shd w:val="clear" w:color="auto" w:fill="auto"/>
                </w:tcPr>
                <w:p w14:paraId="03E4909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18</w:t>
                  </w:r>
                </w:p>
              </w:tc>
              <w:tc>
                <w:tcPr>
                  <w:tcW w:w="1607" w:type="dxa"/>
                  <w:vAlign w:val="bottom"/>
                </w:tcPr>
                <w:p w14:paraId="728CD5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w:t>
                  </w:r>
                </w:p>
              </w:tc>
              <w:tc>
                <w:tcPr>
                  <w:tcW w:w="850" w:type="dxa"/>
                  <w:shd w:val="clear" w:color="auto" w:fill="auto"/>
                </w:tcPr>
                <w:p w14:paraId="1FF373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50</w:t>
                  </w:r>
                </w:p>
              </w:tc>
              <w:tc>
                <w:tcPr>
                  <w:tcW w:w="1538" w:type="dxa"/>
                  <w:vAlign w:val="bottom"/>
                </w:tcPr>
                <w:p w14:paraId="599AB8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5000</w:t>
                  </w:r>
                </w:p>
              </w:tc>
            </w:tr>
            <w:tr w:rsidR="00730A3F" w:rsidRPr="005F0EE1" w14:paraId="319E4BC9" w14:textId="77777777" w:rsidTr="006B76A3">
              <w:trPr>
                <w:trHeight w:val="170"/>
                <w:jc w:val="center"/>
              </w:trPr>
              <w:tc>
                <w:tcPr>
                  <w:tcW w:w="781" w:type="dxa"/>
                  <w:shd w:val="clear" w:color="auto" w:fill="auto"/>
                </w:tcPr>
                <w:p w14:paraId="7E600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19</w:t>
                  </w:r>
                </w:p>
              </w:tc>
              <w:tc>
                <w:tcPr>
                  <w:tcW w:w="1607" w:type="dxa"/>
                  <w:vAlign w:val="bottom"/>
                </w:tcPr>
                <w:p w14:paraId="43FB5D7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160</w:t>
                  </w:r>
                </w:p>
              </w:tc>
              <w:tc>
                <w:tcPr>
                  <w:tcW w:w="850" w:type="dxa"/>
                  <w:shd w:val="clear" w:color="auto" w:fill="auto"/>
                </w:tcPr>
                <w:p w14:paraId="1D3D31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51</w:t>
                  </w:r>
                </w:p>
              </w:tc>
              <w:tc>
                <w:tcPr>
                  <w:tcW w:w="1538" w:type="dxa"/>
                  <w:vAlign w:val="bottom"/>
                </w:tcPr>
                <w:p w14:paraId="4FA615C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5500</w:t>
                  </w:r>
                </w:p>
              </w:tc>
            </w:tr>
            <w:tr w:rsidR="00730A3F" w:rsidRPr="005F0EE1" w14:paraId="0579A12B" w14:textId="77777777" w:rsidTr="006B76A3">
              <w:trPr>
                <w:trHeight w:val="170"/>
                <w:jc w:val="center"/>
              </w:trPr>
              <w:tc>
                <w:tcPr>
                  <w:tcW w:w="781" w:type="dxa"/>
                  <w:shd w:val="clear" w:color="auto" w:fill="auto"/>
                </w:tcPr>
                <w:p w14:paraId="20CE255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20</w:t>
                  </w:r>
                </w:p>
              </w:tc>
              <w:tc>
                <w:tcPr>
                  <w:tcW w:w="1607" w:type="dxa"/>
                  <w:vAlign w:val="bottom"/>
                </w:tcPr>
                <w:p w14:paraId="1F7BC48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180</w:t>
                  </w:r>
                </w:p>
              </w:tc>
              <w:tc>
                <w:tcPr>
                  <w:tcW w:w="850" w:type="dxa"/>
                  <w:shd w:val="clear" w:color="auto" w:fill="auto"/>
                </w:tcPr>
                <w:p w14:paraId="6A2FA99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52</w:t>
                  </w:r>
                </w:p>
              </w:tc>
              <w:tc>
                <w:tcPr>
                  <w:tcW w:w="1538" w:type="dxa"/>
                  <w:vAlign w:val="bottom"/>
                </w:tcPr>
                <w:p w14:paraId="418AD0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6000</w:t>
                  </w:r>
                </w:p>
              </w:tc>
            </w:tr>
            <w:tr w:rsidR="00730A3F" w:rsidRPr="005F0EE1" w14:paraId="525BFD36" w14:textId="77777777" w:rsidTr="006B76A3">
              <w:trPr>
                <w:trHeight w:val="170"/>
                <w:jc w:val="center"/>
              </w:trPr>
              <w:tc>
                <w:tcPr>
                  <w:tcW w:w="781" w:type="dxa"/>
                  <w:shd w:val="clear" w:color="auto" w:fill="auto"/>
                </w:tcPr>
                <w:p w14:paraId="2628AD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21</w:t>
                  </w:r>
                </w:p>
              </w:tc>
              <w:tc>
                <w:tcPr>
                  <w:tcW w:w="1607" w:type="dxa"/>
                  <w:vAlign w:val="bottom"/>
                </w:tcPr>
                <w:p w14:paraId="019FD69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w:t>
                  </w:r>
                </w:p>
              </w:tc>
              <w:tc>
                <w:tcPr>
                  <w:tcW w:w="850" w:type="dxa"/>
                  <w:shd w:val="clear" w:color="auto" w:fill="auto"/>
                </w:tcPr>
                <w:p w14:paraId="6BF7CE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53</w:t>
                  </w:r>
                </w:p>
              </w:tc>
              <w:tc>
                <w:tcPr>
                  <w:tcW w:w="1538" w:type="dxa"/>
                  <w:vAlign w:val="bottom"/>
                </w:tcPr>
                <w:p w14:paraId="1CB7CDB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6500</w:t>
                  </w:r>
                </w:p>
              </w:tc>
            </w:tr>
            <w:tr w:rsidR="00730A3F" w:rsidRPr="005F0EE1" w14:paraId="727C2CA3" w14:textId="77777777" w:rsidTr="006B76A3">
              <w:trPr>
                <w:trHeight w:val="170"/>
                <w:jc w:val="center"/>
              </w:trPr>
              <w:tc>
                <w:tcPr>
                  <w:tcW w:w="781" w:type="dxa"/>
                  <w:shd w:val="clear" w:color="auto" w:fill="auto"/>
                </w:tcPr>
                <w:p w14:paraId="2E0DD3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22</w:t>
                  </w:r>
                </w:p>
              </w:tc>
              <w:tc>
                <w:tcPr>
                  <w:tcW w:w="1607" w:type="dxa"/>
                  <w:vAlign w:val="bottom"/>
                </w:tcPr>
                <w:p w14:paraId="637CF7F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220</w:t>
                  </w:r>
                </w:p>
              </w:tc>
              <w:tc>
                <w:tcPr>
                  <w:tcW w:w="850" w:type="dxa"/>
                  <w:shd w:val="clear" w:color="auto" w:fill="auto"/>
                </w:tcPr>
                <w:p w14:paraId="4C40C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54</w:t>
                  </w:r>
                </w:p>
              </w:tc>
              <w:tc>
                <w:tcPr>
                  <w:tcW w:w="1538" w:type="dxa"/>
                  <w:vAlign w:val="bottom"/>
                </w:tcPr>
                <w:p w14:paraId="6D6C656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7000</w:t>
                  </w:r>
                </w:p>
              </w:tc>
            </w:tr>
            <w:tr w:rsidR="00730A3F" w:rsidRPr="005F0EE1" w14:paraId="708918BE" w14:textId="77777777" w:rsidTr="006B76A3">
              <w:trPr>
                <w:trHeight w:val="170"/>
                <w:jc w:val="center"/>
              </w:trPr>
              <w:tc>
                <w:tcPr>
                  <w:tcW w:w="781" w:type="dxa"/>
                  <w:shd w:val="clear" w:color="auto" w:fill="auto"/>
                </w:tcPr>
                <w:p w14:paraId="20C956D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23</w:t>
                  </w:r>
                </w:p>
              </w:tc>
              <w:tc>
                <w:tcPr>
                  <w:tcW w:w="1607" w:type="dxa"/>
                  <w:vAlign w:val="bottom"/>
                </w:tcPr>
                <w:p w14:paraId="67151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240</w:t>
                  </w:r>
                </w:p>
              </w:tc>
              <w:tc>
                <w:tcPr>
                  <w:tcW w:w="850" w:type="dxa"/>
                  <w:shd w:val="clear" w:color="auto" w:fill="auto"/>
                </w:tcPr>
                <w:p w14:paraId="306D9BD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55</w:t>
                  </w:r>
                </w:p>
              </w:tc>
              <w:tc>
                <w:tcPr>
                  <w:tcW w:w="1538" w:type="dxa"/>
                  <w:vAlign w:val="bottom"/>
                </w:tcPr>
                <w:p w14:paraId="78019A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7500</w:t>
                  </w:r>
                </w:p>
              </w:tc>
            </w:tr>
            <w:tr w:rsidR="00730A3F" w:rsidRPr="005F0EE1" w14:paraId="10A27606" w14:textId="77777777" w:rsidTr="006B76A3">
              <w:trPr>
                <w:trHeight w:val="170"/>
                <w:jc w:val="center"/>
              </w:trPr>
              <w:tc>
                <w:tcPr>
                  <w:tcW w:w="781" w:type="dxa"/>
                  <w:shd w:val="clear" w:color="auto" w:fill="auto"/>
                </w:tcPr>
                <w:p w14:paraId="568727A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24</w:t>
                  </w:r>
                </w:p>
              </w:tc>
              <w:tc>
                <w:tcPr>
                  <w:tcW w:w="1607" w:type="dxa"/>
                  <w:vAlign w:val="bottom"/>
                </w:tcPr>
                <w:p w14:paraId="1A086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260</w:t>
                  </w:r>
                </w:p>
              </w:tc>
              <w:tc>
                <w:tcPr>
                  <w:tcW w:w="850" w:type="dxa"/>
                  <w:shd w:val="clear" w:color="auto" w:fill="auto"/>
                </w:tcPr>
                <w:p w14:paraId="4E65F34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56</w:t>
                  </w:r>
                </w:p>
              </w:tc>
              <w:tc>
                <w:tcPr>
                  <w:tcW w:w="1538" w:type="dxa"/>
                  <w:vAlign w:val="bottom"/>
                </w:tcPr>
                <w:p w14:paraId="3832D1AC"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8000</w:t>
                  </w:r>
                </w:p>
              </w:tc>
            </w:tr>
            <w:tr w:rsidR="00730A3F" w:rsidRPr="005F0EE1" w14:paraId="50D08550" w14:textId="77777777" w:rsidTr="006B76A3">
              <w:trPr>
                <w:trHeight w:val="170"/>
                <w:jc w:val="center"/>
              </w:trPr>
              <w:tc>
                <w:tcPr>
                  <w:tcW w:w="781" w:type="dxa"/>
                  <w:shd w:val="clear" w:color="auto" w:fill="auto"/>
                </w:tcPr>
                <w:p w14:paraId="439683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25</w:t>
                  </w:r>
                </w:p>
              </w:tc>
              <w:tc>
                <w:tcPr>
                  <w:tcW w:w="1607" w:type="dxa"/>
                  <w:vAlign w:val="bottom"/>
                </w:tcPr>
                <w:p w14:paraId="002E260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280</w:t>
                  </w:r>
                </w:p>
              </w:tc>
              <w:tc>
                <w:tcPr>
                  <w:tcW w:w="850" w:type="dxa"/>
                  <w:shd w:val="clear" w:color="auto" w:fill="auto"/>
                </w:tcPr>
                <w:p w14:paraId="0576672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57</w:t>
                  </w:r>
                </w:p>
              </w:tc>
              <w:tc>
                <w:tcPr>
                  <w:tcW w:w="1538" w:type="dxa"/>
                  <w:vAlign w:val="bottom"/>
                </w:tcPr>
                <w:p w14:paraId="2A6070B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7AB70619" w14:textId="77777777" w:rsidTr="006B76A3">
              <w:trPr>
                <w:trHeight w:val="170"/>
                <w:jc w:val="center"/>
              </w:trPr>
              <w:tc>
                <w:tcPr>
                  <w:tcW w:w="781" w:type="dxa"/>
                  <w:shd w:val="clear" w:color="auto" w:fill="auto"/>
                </w:tcPr>
                <w:p w14:paraId="6A9732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26</w:t>
                  </w:r>
                </w:p>
              </w:tc>
              <w:tc>
                <w:tcPr>
                  <w:tcW w:w="1607" w:type="dxa"/>
                  <w:vAlign w:val="bottom"/>
                </w:tcPr>
                <w:p w14:paraId="4579585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w:t>
                  </w:r>
                </w:p>
              </w:tc>
              <w:tc>
                <w:tcPr>
                  <w:tcW w:w="850" w:type="dxa"/>
                  <w:shd w:val="clear" w:color="auto" w:fill="auto"/>
                </w:tcPr>
                <w:p w14:paraId="5B3E63B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58</w:t>
                  </w:r>
                </w:p>
              </w:tc>
              <w:tc>
                <w:tcPr>
                  <w:tcW w:w="1538" w:type="dxa"/>
                  <w:vAlign w:val="bottom"/>
                </w:tcPr>
                <w:p w14:paraId="038404C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18F910C" w14:textId="77777777" w:rsidTr="006B76A3">
              <w:trPr>
                <w:trHeight w:val="170"/>
                <w:jc w:val="center"/>
              </w:trPr>
              <w:tc>
                <w:tcPr>
                  <w:tcW w:w="781" w:type="dxa"/>
                  <w:shd w:val="clear" w:color="auto" w:fill="auto"/>
                </w:tcPr>
                <w:p w14:paraId="5A71F0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27</w:t>
                  </w:r>
                </w:p>
              </w:tc>
              <w:tc>
                <w:tcPr>
                  <w:tcW w:w="1607" w:type="dxa"/>
                  <w:vAlign w:val="bottom"/>
                </w:tcPr>
                <w:p w14:paraId="602FF54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w:t>
                  </w:r>
                </w:p>
              </w:tc>
              <w:tc>
                <w:tcPr>
                  <w:tcW w:w="850" w:type="dxa"/>
                  <w:shd w:val="clear" w:color="auto" w:fill="auto"/>
                </w:tcPr>
                <w:p w14:paraId="2AE0F0C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59</w:t>
                  </w:r>
                </w:p>
              </w:tc>
              <w:tc>
                <w:tcPr>
                  <w:tcW w:w="1538" w:type="dxa"/>
                  <w:vAlign w:val="bottom"/>
                </w:tcPr>
                <w:p w14:paraId="1282735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0926B30C" w14:textId="77777777" w:rsidTr="006B76A3">
              <w:trPr>
                <w:trHeight w:val="170"/>
                <w:jc w:val="center"/>
              </w:trPr>
              <w:tc>
                <w:tcPr>
                  <w:tcW w:w="781" w:type="dxa"/>
                  <w:shd w:val="clear" w:color="auto" w:fill="auto"/>
                </w:tcPr>
                <w:p w14:paraId="6BBC34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28</w:t>
                  </w:r>
                </w:p>
              </w:tc>
              <w:tc>
                <w:tcPr>
                  <w:tcW w:w="1607" w:type="dxa"/>
                  <w:vAlign w:val="bottom"/>
                </w:tcPr>
                <w:p w14:paraId="2E4751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w:t>
                  </w:r>
                </w:p>
              </w:tc>
              <w:tc>
                <w:tcPr>
                  <w:tcW w:w="850" w:type="dxa"/>
                  <w:shd w:val="clear" w:color="auto" w:fill="auto"/>
                </w:tcPr>
                <w:p w14:paraId="010C6B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60</w:t>
                  </w:r>
                </w:p>
              </w:tc>
              <w:tc>
                <w:tcPr>
                  <w:tcW w:w="1538" w:type="dxa"/>
                  <w:vAlign w:val="bottom"/>
                </w:tcPr>
                <w:p w14:paraId="547AE1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644B9DD0" w14:textId="77777777" w:rsidTr="006B76A3">
              <w:trPr>
                <w:trHeight w:val="170"/>
                <w:jc w:val="center"/>
              </w:trPr>
              <w:tc>
                <w:tcPr>
                  <w:tcW w:w="781" w:type="dxa"/>
                  <w:shd w:val="clear" w:color="auto" w:fill="auto"/>
                </w:tcPr>
                <w:p w14:paraId="2CAF84E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29</w:t>
                  </w:r>
                </w:p>
              </w:tc>
              <w:tc>
                <w:tcPr>
                  <w:tcW w:w="1607" w:type="dxa"/>
                  <w:vAlign w:val="bottom"/>
                </w:tcPr>
                <w:p w14:paraId="6489D4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w:t>
                  </w:r>
                </w:p>
              </w:tc>
              <w:tc>
                <w:tcPr>
                  <w:tcW w:w="850" w:type="dxa"/>
                  <w:shd w:val="clear" w:color="auto" w:fill="auto"/>
                </w:tcPr>
                <w:p w14:paraId="16B4A7B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61</w:t>
                  </w:r>
                </w:p>
              </w:tc>
              <w:tc>
                <w:tcPr>
                  <w:tcW w:w="1538" w:type="dxa"/>
                  <w:vAlign w:val="bottom"/>
                </w:tcPr>
                <w:p w14:paraId="2B93E8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254176CF" w14:textId="77777777" w:rsidTr="006B76A3">
              <w:trPr>
                <w:trHeight w:val="170"/>
                <w:jc w:val="center"/>
              </w:trPr>
              <w:tc>
                <w:tcPr>
                  <w:tcW w:w="781" w:type="dxa"/>
                  <w:shd w:val="clear" w:color="auto" w:fill="auto"/>
                </w:tcPr>
                <w:p w14:paraId="43F2258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30</w:t>
                  </w:r>
                </w:p>
              </w:tc>
              <w:tc>
                <w:tcPr>
                  <w:tcW w:w="1607" w:type="dxa"/>
                  <w:vAlign w:val="bottom"/>
                </w:tcPr>
                <w:p w14:paraId="3B978F2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w:t>
                  </w:r>
                </w:p>
              </w:tc>
              <w:tc>
                <w:tcPr>
                  <w:tcW w:w="850" w:type="dxa"/>
                  <w:shd w:val="clear" w:color="auto" w:fill="auto"/>
                </w:tcPr>
                <w:p w14:paraId="405AB6F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62</w:t>
                  </w:r>
                </w:p>
              </w:tc>
              <w:tc>
                <w:tcPr>
                  <w:tcW w:w="1538" w:type="dxa"/>
                  <w:vAlign w:val="bottom"/>
                </w:tcPr>
                <w:p w14:paraId="7329CA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6D753DF" w14:textId="77777777" w:rsidTr="006B76A3">
              <w:trPr>
                <w:trHeight w:val="170"/>
                <w:jc w:val="center"/>
              </w:trPr>
              <w:tc>
                <w:tcPr>
                  <w:tcW w:w="781" w:type="dxa"/>
                  <w:shd w:val="clear" w:color="auto" w:fill="auto"/>
                </w:tcPr>
                <w:p w14:paraId="5B77B0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31</w:t>
                  </w:r>
                </w:p>
              </w:tc>
              <w:tc>
                <w:tcPr>
                  <w:tcW w:w="1607" w:type="dxa"/>
                  <w:vAlign w:val="bottom"/>
                </w:tcPr>
                <w:p w14:paraId="19B9100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w:t>
                  </w:r>
                </w:p>
              </w:tc>
              <w:tc>
                <w:tcPr>
                  <w:tcW w:w="850" w:type="dxa"/>
                  <w:shd w:val="clear" w:color="auto" w:fill="auto"/>
                </w:tcPr>
                <w:p w14:paraId="6BA8DE1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63</w:t>
                  </w:r>
                </w:p>
              </w:tc>
              <w:tc>
                <w:tcPr>
                  <w:tcW w:w="1538" w:type="dxa"/>
                  <w:vAlign w:val="bottom"/>
                </w:tcPr>
                <w:p w14:paraId="485D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4CB08446" w14:textId="77777777" w:rsidTr="006B76A3">
              <w:trPr>
                <w:trHeight w:val="170"/>
                <w:jc w:val="center"/>
              </w:trPr>
              <w:tc>
                <w:tcPr>
                  <w:tcW w:w="4776" w:type="dxa"/>
                  <w:gridSpan w:val="4"/>
                  <w:shd w:val="clear" w:color="auto" w:fill="auto"/>
                </w:tcPr>
                <w:p w14:paraId="7DB966FA" w14:textId="77777777" w:rsidR="00730A3F" w:rsidRPr="005F0EE1" w:rsidRDefault="00730A3F" w:rsidP="00730A3F">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5F0EE1">
                    <w:rPr>
                      <w:rFonts w:ascii="Arial" w:eastAsia="Times New Roman" w:hAnsi="Arial"/>
                      <w:noProof/>
                      <w:sz w:val="18"/>
                      <w:lang w:eastAsia="ja-JP"/>
                    </w:rPr>
                    <w:t>Note 1:</w:t>
                  </w:r>
                  <w:r w:rsidRPr="005F0EE1">
                    <w:rPr>
                      <w:rFonts w:ascii="Arial" w:eastAsia="Times New Roman" w:hAnsi="Arial"/>
                      <w:noProof/>
                      <w:sz w:val="18"/>
                      <w:lang w:eastAsia="ja-JP"/>
                    </w:rPr>
                    <w:tab/>
                    <w:t>For bit rate recommendation message this index is used for indicating that no new recommendation on bit rate is given.</w:t>
                  </w:r>
                </w:p>
              </w:tc>
            </w:tr>
          </w:tbl>
          <w:p w14:paraId="42CF5A56" w14:textId="77777777" w:rsidR="00730A3F" w:rsidRDefault="00730A3F" w:rsidP="003657F9">
            <w:pPr>
              <w:rPr>
                <w:bCs/>
              </w:rPr>
            </w:pPr>
          </w:p>
        </w:tc>
      </w:tr>
    </w:tbl>
    <w:p w14:paraId="76267FC2" w14:textId="77777777" w:rsidR="00730A3F" w:rsidRDefault="00730A3F" w:rsidP="003657F9">
      <w:pPr>
        <w:rPr>
          <w:bCs/>
        </w:rPr>
      </w:pPr>
    </w:p>
    <w:p w14:paraId="0F23E816" w14:textId="7054BCAD" w:rsidR="005F0EE1" w:rsidRDefault="00E3415F" w:rsidP="003657F9">
      <w:pPr>
        <w:rPr>
          <w:bCs/>
        </w:rPr>
      </w:pPr>
      <w:r>
        <w:rPr>
          <w:bCs/>
        </w:rPr>
        <w:t xml:space="preserve">The following options were </w:t>
      </w:r>
      <w:r w:rsidR="00742123">
        <w:rPr>
          <w:bCs/>
        </w:rPr>
        <w:t>agreed to be further studied to provide bit rate values for XR applications:</w:t>
      </w:r>
    </w:p>
    <w:p w14:paraId="7F5C91A0" w14:textId="62DE0AAA" w:rsidR="00742123" w:rsidRPr="00742123" w:rsidRDefault="00742123" w:rsidP="00742123">
      <w:pPr>
        <w:rPr>
          <w:bCs/>
        </w:rPr>
      </w:pPr>
      <w:r>
        <w:rPr>
          <w:bCs/>
        </w:rPr>
        <w:tab/>
        <w:t>-</w:t>
      </w:r>
      <w:r>
        <w:rPr>
          <w:bCs/>
        </w:rPr>
        <w:tab/>
      </w:r>
      <w:r w:rsidRPr="00742123">
        <w:rPr>
          <w:bCs/>
        </w:rPr>
        <w:t xml:space="preserve">Extend the Bit Rate </w:t>
      </w:r>
      <w:proofErr w:type="gramStart"/>
      <w:r w:rsidRPr="00742123">
        <w:rPr>
          <w:bCs/>
        </w:rPr>
        <w:t>field</w:t>
      </w:r>
      <w:r>
        <w:rPr>
          <w:bCs/>
        </w:rPr>
        <w:t>;</w:t>
      </w:r>
      <w:proofErr w:type="gramEnd"/>
    </w:p>
    <w:p w14:paraId="1D4BB5A4" w14:textId="1134817F" w:rsidR="00742123" w:rsidRPr="00742123" w:rsidRDefault="00742123" w:rsidP="00742123">
      <w:pPr>
        <w:ind w:firstLine="284"/>
        <w:rPr>
          <w:bCs/>
        </w:rPr>
      </w:pPr>
      <w:r w:rsidRPr="00742123">
        <w:rPr>
          <w:bCs/>
        </w:rPr>
        <w:t>-</w:t>
      </w:r>
      <w:r>
        <w:rPr>
          <w:bCs/>
        </w:rPr>
        <w:tab/>
      </w:r>
      <w:r w:rsidRPr="00742123">
        <w:rPr>
          <w:bCs/>
        </w:rPr>
        <w:t xml:space="preserve">Define a new bit rate table to provide sufficient granularity for XR </w:t>
      </w:r>
      <w:proofErr w:type="gramStart"/>
      <w:r w:rsidRPr="00742123">
        <w:rPr>
          <w:bCs/>
        </w:rPr>
        <w:t>traffic</w:t>
      </w:r>
      <w:r>
        <w:rPr>
          <w:bCs/>
        </w:rPr>
        <w:t>;</w:t>
      </w:r>
      <w:proofErr w:type="gramEnd"/>
    </w:p>
    <w:p w14:paraId="4092A910" w14:textId="7B629D2B" w:rsidR="00742123" w:rsidRDefault="00742123" w:rsidP="00742123">
      <w:pPr>
        <w:ind w:firstLine="284"/>
        <w:rPr>
          <w:bCs/>
        </w:rPr>
      </w:pPr>
      <w:r w:rsidRPr="00742123">
        <w:rPr>
          <w:bCs/>
        </w:rPr>
        <w:t>-</w:t>
      </w:r>
      <w:r>
        <w:rPr>
          <w:bCs/>
        </w:rPr>
        <w:tab/>
      </w:r>
      <w:r w:rsidRPr="00742123">
        <w:rPr>
          <w:bCs/>
        </w:rPr>
        <w:t xml:space="preserve">Introduce new values for the </w:t>
      </w:r>
      <w:proofErr w:type="gramStart"/>
      <w:r w:rsidRPr="00742123">
        <w:rPr>
          <w:bCs/>
          <w:i/>
          <w:iCs/>
        </w:rPr>
        <w:t>bitRateMultiplier</w:t>
      </w:r>
      <w:r>
        <w:rPr>
          <w:bCs/>
        </w:rPr>
        <w:t>;</w:t>
      </w:r>
      <w:proofErr w:type="gramEnd"/>
    </w:p>
    <w:p w14:paraId="28D67B8E" w14:textId="131A2B2A" w:rsidR="001C140A" w:rsidRDefault="00742123" w:rsidP="00742123">
      <w:pPr>
        <w:rPr>
          <w:bCs/>
        </w:rPr>
      </w:pPr>
      <w:r>
        <w:rPr>
          <w:bCs/>
        </w:rPr>
        <w:t xml:space="preserve">Since the X field follows the Bit Rate field, it seems </w:t>
      </w:r>
      <w:r w:rsidR="00B84B94">
        <w:rPr>
          <w:bCs/>
        </w:rPr>
        <w:t>not a good option to extend the Bit Rate field – this would mean that a new MAC CE would be required for the purpose.</w:t>
      </w:r>
      <w:r w:rsidR="00BC1494">
        <w:rPr>
          <w:bCs/>
        </w:rPr>
        <w:t xml:space="preserve"> Hence, simplest approach is to define the new bit rate table </w:t>
      </w:r>
      <w:r w:rsidR="001C140A">
        <w:rPr>
          <w:bCs/>
        </w:rPr>
        <w:t xml:space="preserve">and/or new values for the </w:t>
      </w:r>
      <w:r w:rsidR="001C140A" w:rsidRPr="001C140A">
        <w:rPr>
          <w:bCs/>
          <w:i/>
          <w:iCs/>
        </w:rPr>
        <w:t>bitRateMultiplier</w:t>
      </w:r>
      <w:r w:rsidR="00C07441">
        <w:rPr>
          <w:bCs/>
        </w:rPr>
        <w:t xml:space="preserve"> – better granularity can be achieved by defining both.</w:t>
      </w:r>
      <w:r w:rsidR="00A40DC4">
        <w:rPr>
          <w:bCs/>
        </w:rPr>
        <w:t xml:space="preserve"> Furthermore, looking at the SA4 response in the introduction section, </w:t>
      </w:r>
      <w:r w:rsidR="004E6327">
        <w:rPr>
          <w:bCs/>
        </w:rPr>
        <w:t>applying these two methods will achieve the intended bitrates and granularities.</w:t>
      </w:r>
    </w:p>
    <w:p w14:paraId="6370DB17" w14:textId="660C9656" w:rsidR="00E56A8E" w:rsidRPr="00921C4C" w:rsidRDefault="00E56A8E" w:rsidP="00742123">
      <w:pPr>
        <w:rPr>
          <w:bCs/>
          <w:i/>
          <w:iCs/>
        </w:rPr>
      </w:pPr>
      <w:r>
        <w:rPr>
          <w:b/>
        </w:rPr>
        <w:t xml:space="preserve">Proposal 3: </w:t>
      </w:r>
      <w:r w:rsidR="00C07441">
        <w:rPr>
          <w:bCs/>
        </w:rPr>
        <w:t>Define new bit rate table and values</w:t>
      </w:r>
      <w:r w:rsidR="00921C4C">
        <w:rPr>
          <w:bCs/>
        </w:rPr>
        <w:t xml:space="preserve"> for the</w:t>
      </w:r>
      <w:r w:rsidR="00C07441">
        <w:rPr>
          <w:bCs/>
        </w:rPr>
        <w:t>/</w:t>
      </w:r>
      <w:r w:rsidR="00921C4C">
        <w:rPr>
          <w:bCs/>
        </w:rPr>
        <w:t xml:space="preserve">new </w:t>
      </w:r>
      <w:r w:rsidR="00921C4C">
        <w:rPr>
          <w:bCs/>
          <w:i/>
          <w:iCs/>
        </w:rPr>
        <w:t>bitRateMultiplier.</w:t>
      </w:r>
    </w:p>
    <w:p w14:paraId="19256917" w14:textId="375EEC27" w:rsidR="001C140A" w:rsidRDefault="001C140A" w:rsidP="00742123">
      <w:pPr>
        <w:rPr>
          <w:bCs/>
        </w:rPr>
      </w:pPr>
      <w:r>
        <w:rPr>
          <w:bCs/>
        </w:rPr>
        <w:t>It should further be discussed whether the old bit rate table values/</w:t>
      </w:r>
      <w:r>
        <w:rPr>
          <w:bCs/>
          <w:i/>
          <w:iCs/>
        </w:rPr>
        <w:t>bitRateMultiplier</w:t>
      </w:r>
      <w:r>
        <w:rPr>
          <w:bCs/>
        </w:rPr>
        <w:t xml:space="preserve"> values should be able to be used concurrently with the new values defined to support the XR applications. If </w:t>
      </w:r>
      <w:r w:rsidR="001C412E">
        <w:rPr>
          <w:bCs/>
        </w:rPr>
        <w:t xml:space="preserve">yes, some dynamic indication would be needed to indicate which values to use (e.g., by exploiting one of the Reserved bits in the MAC CE or </w:t>
      </w:r>
      <w:r w:rsidR="00E56A8E">
        <w:rPr>
          <w:bCs/>
        </w:rPr>
        <w:t>define a new (e)LCID).</w:t>
      </w:r>
      <w:r w:rsidR="00DB0729">
        <w:rPr>
          <w:bCs/>
        </w:rPr>
        <w:t xml:space="preserve"> Otherwise, the current MAC CE can be used as is by RRC configuration on which table and </w:t>
      </w:r>
      <w:r w:rsidR="00DB0729">
        <w:rPr>
          <w:bCs/>
          <w:i/>
          <w:iCs/>
        </w:rPr>
        <w:t>bitRateMultiplier</w:t>
      </w:r>
      <w:r w:rsidR="00DB0729">
        <w:rPr>
          <w:bCs/>
        </w:rPr>
        <w:t xml:space="preserve"> values to be used.</w:t>
      </w:r>
      <w:r w:rsidR="00132643">
        <w:rPr>
          <w:bCs/>
        </w:rPr>
        <w:t xml:space="preserve"> </w:t>
      </w:r>
      <w:r w:rsidR="0065519D">
        <w:rPr>
          <w:bCs/>
        </w:rPr>
        <w:t xml:space="preserve">Since the </w:t>
      </w:r>
      <w:r w:rsidR="00462C72">
        <w:rPr>
          <w:bCs/>
        </w:rPr>
        <w:t xml:space="preserve">bit rates to be indicated to XR applications would be generally smaller </w:t>
      </w:r>
      <w:r w:rsidR="00462C72">
        <w:rPr>
          <w:bCs/>
        </w:rPr>
        <w:lastRenderedPageBreak/>
        <w:t xml:space="preserve">and with better granularity to the legacy values, </w:t>
      </w:r>
      <w:r w:rsidR="009D2EC7">
        <w:rPr>
          <w:bCs/>
        </w:rPr>
        <w:t>the RRC configuration options seems sufficiently dynamic for the purpose if NW intends to use the new UL congestion signalling for the UE.</w:t>
      </w:r>
    </w:p>
    <w:p w14:paraId="4CD8F6F3" w14:textId="78E82A83" w:rsidR="00DB0729" w:rsidRPr="00607CDE" w:rsidRDefault="00CB16DD" w:rsidP="00742123">
      <w:pPr>
        <w:rPr>
          <w:bCs/>
        </w:rPr>
      </w:pPr>
      <w:r>
        <w:rPr>
          <w:b/>
        </w:rPr>
        <w:t xml:space="preserve">Proposal 4: </w:t>
      </w:r>
      <w:r w:rsidR="00607CDE">
        <w:rPr>
          <w:bCs/>
        </w:rPr>
        <w:t xml:space="preserve">RRC configures whether the new bit rate table and/or </w:t>
      </w:r>
      <w:r w:rsidR="00607CDE">
        <w:rPr>
          <w:bCs/>
          <w:i/>
          <w:iCs/>
        </w:rPr>
        <w:t>bitRateMultiplier</w:t>
      </w:r>
      <w:r w:rsidR="00607CDE">
        <w:rPr>
          <w:bCs/>
        </w:rPr>
        <w:t xml:space="preserve"> value is used and the legacy Recommended Bit Rate MAC CE is used as is for the UL congestion signaling.</w:t>
      </w:r>
    </w:p>
    <w:p w14:paraId="69B7B8E6" w14:textId="69E07FC9" w:rsidR="009339CB" w:rsidRPr="006E13D1" w:rsidRDefault="005A13AB" w:rsidP="009339CB">
      <w:pPr>
        <w:pStyle w:val="Heading1"/>
      </w:pPr>
      <w:r>
        <w:t>3</w:t>
      </w:r>
      <w:r w:rsidR="009339CB" w:rsidRPr="006E13D1">
        <w:tab/>
      </w:r>
      <w:r w:rsidR="009339CB">
        <w:t>Conclusion</w:t>
      </w:r>
    </w:p>
    <w:p w14:paraId="6E24B0F4" w14:textId="35692A02" w:rsidR="009339CB" w:rsidRDefault="009339CB" w:rsidP="009339CB">
      <w:r>
        <w:t>This document has made the following</w:t>
      </w:r>
      <w:r w:rsidR="00A95910">
        <w:t xml:space="preserve"> observations and</w:t>
      </w:r>
      <w:r>
        <w:t xml:space="preserve"> </w:t>
      </w:r>
      <w:r w:rsidR="00C51E25">
        <w:rPr>
          <w:rFonts w:hint="eastAsia"/>
          <w:lang w:eastAsia="ko-KR"/>
        </w:rPr>
        <w:t>proposals</w:t>
      </w:r>
      <w:r>
        <w:t>:</w:t>
      </w:r>
    </w:p>
    <w:p w14:paraId="4C92A37C" w14:textId="77777777" w:rsidR="00A95910" w:rsidRDefault="00A95910" w:rsidP="00A95910">
      <w:pPr>
        <w:rPr>
          <w:lang w:val="en-US"/>
        </w:rPr>
      </w:pPr>
      <w:r>
        <w:rPr>
          <w:b/>
          <w:bCs/>
          <w:lang w:val="en-US"/>
        </w:rPr>
        <w:t xml:space="preserve">Observation: </w:t>
      </w:r>
      <w:r>
        <w:rPr>
          <w:lang w:val="en-US"/>
        </w:rPr>
        <w:t>MAC does not see QoS flow(s) in neither the UE nor the NW side, hence, supporting QoS flow level UL congestion signaling at MAC layer would require signaling support in F1 interface.</w:t>
      </w:r>
    </w:p>
    <w:p w14:paraId="2B20A24D" w14:textId="77777777" w:rsidR="004E6327" w:rsidRPr="006C6FA2" w:rsidRDefault="004E6327" w:rsidP="004E6327">
      <w:pPr>
        <w:rPr>
          <w:lang w:val="en-US"/>
        </w:rPr>
      </w:pPr>
      <w:r>
        <w:rPr>
          <w:b/>
          <w:bCs/>
          <w:lang w:val="en-US"/>
        </w:rPr>
        <w:t xml:space="preserve">Proposal 1: </w:t>
      </w:r>
      <w:r>
        <w:rPr>
          <w:lang w:val="en-US"/>
        </w:rPr>
        <w:t>The UL congestion indication is signaled on a per DRB/LCH basis by MAC CE and RRC signaling is used to configure which QoS flows to throttle on a per DRB basis.</w:t>
      </w:r>
    </w:p>
    <w:p w14:paraId="2188C30F" w14:textId="77777777" w:rsidR="00A95910" w:rsidRDefault="00A95910" w:rsidP="00A95910">
      <w:pPr>
        <w:rPr>
          <w:bCs/>
        </w:rPr>
      </w:pPr>
      <w:r w:rsidRPr="000E2A05">
        <w:rPr>
          <w:b/>
        </w:rPr>
        <w:t xml:space="preserve">Proposal </w:t>
      </w:r>
      <w:r>
        <w:rPr>
          <w:b/>
        </w:rPr>
        <w:t>2</w:t>
      </w:r>
      <w:r w:rsidRPr="000E2A05">
        <w:rPr>
          <w:b/>
        </w:rPr>
        <w:t>:</w:t>
      </w:r>
      <w:r>
        <w:rPr>
          <w:b/>
        </w:rPr>
        <w:t xml:space="preserve"> </w:t>
      </w:r>
      <w:r>
        <w:rPr>
          <w:bCs/>
        </w:rPr>
        <w:t>The Recommended Bit Rate procedure is used for the UL congestion signaling.</w:t>
      </w:r>
    </w:p>
    <w:p w14:paraId="16AFCA9A" w14:textId="77777777" w:rsidR="00A95910" w:rsidRPr="00921C4C" w:rsidRDefault="00A95910" w:rsidP="00A95910">
      <w:pPr>
        <w:rPr>
          <w:bCs/>
          <w:i/>
          <w:iCs/>
        </w:rPr>
      </w:pPr>
      <w:r>
        <w:rPr>
          <w:b/>
        </w:rPr>
        <w:t xml:space="preserve">Proposal 3: </w:t>
      </w:r>
      <w:r>
        <w:rPr>
          <w:bCs/>
        </w:rPr>
        <w:t xml:space="preserve">Define new bit rate table and values for the/new </w:t>
      </w:r>
      <w:r>
        <w:rPr>
          <w:bCs/>
          <w:i/>
          <w:iCs/>
        </w:rPr>
        <w:t>bitRateMultiplier.</w:t>
      </w:r>
    </w:p>
    <w:p w14:paraId="70FC399A" w14:textId="77777777" w:rsidR="00A95910" w:rsidRPr="00607CDE" w:rsidRDefault="00A95910" w:rsidP="00A95910">
      <w:pPr>
        <w:rPr>
          <w:bCs/>
        </w:rPr>
      </w:pPr>
      <w:r>
        <w:rPr>
          <w:b/>
        </w:rPr>
        <w:t xml:space="preserve">Proposal 4: </w:t>
      </w:r>
      <w:r>
        <w:rPr>
          <w:bCs/>
        </w:rPr>
        <w:t xml:space="preserve">RRC configures whether the new bit rate table and/or </w:t>
      </w:r>
      <w:r>
        <w:rPr>
          <w:bCs/>
          <w:i/>
          <w:iCs/>
        </w:rPr>
        <w:t>bitRateMultiplier</w:t>
      </w:r>
      <w:r>
        <w:rPr>
          <w:bCs/>
        </w:rPr>
        <w:t xml:space="preserve"> value is used and the legacy Recommended Bit Rate MAC CE is used as is for the UL congestion signaling.</w:t>
      </w:r>
    </w:p>
    <w:p w14:paraId="323EE5F9" w14:textId="178B5D58" w:rsidR="00891856" w:rsidRDefault="00891856">
      <w:pPr>
        <w:spacing w:after="0"/>
      </w:pPr>
    </w:p>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BBEC" w14:textId="77777777" w:rsidR="00D11088" w:rsidRDefault="00D11088">
      <w:r>
        <w:separator/>
      </w:r>
    </w:p>
  </w:endnote>
  <w:endnote w:type="continuationSeparator" w:id="0">
    <w:p w14:paraId="6DE1CD5A" w14:textId="77777777" w:rsidR="00D11088" w:rsidRDefault="00D11088">
      <w:r>
        <w:continuationSeparator/>
      </w:r>
    </w:p>
  </w:endnote>
  <w:endnote w:type="continuationNotice" w:id="1">
    <w:p w14:paraId="4E9D1887" w14:textId="77777777" w:rsidR="00D11088" w:rsidRDefault="00D11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3174" w14:textId="77777777" w:rsidR="00D11088" w:rsidRDefault="00D11088">
      <w:r>
        <w:separator/>
      </w:r>
    </w:p>
  </w:footnote>
  <w:footnote w:type="continuationSeparator" w:id="0">
    <w:p w14:paraId="37312B59" w14:textId="77777777" w:rsidR="00D11088" w:rsidRDefault="00D11088">
      <w:r>
        <w:continuationSeparator/>
      </w:r>
    </w:p>
  </w:footnote>
  <w:footnote w:type="continuationNotice" w:id="1">
    <w:p w14:paraId="0AC6628D" w14:textId="77777777" w:rsidR="00D11088" w:rsidRDefault="00D11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9"/>
  </w:num>
  <w:num w:numId="20" w16cid:durableId="121196298">
    <w:abstractNumId w:val="20"/>
  </w:num>
  <w:num w:numId="21" w16cid:durableId="341124529">
    <w:abstractNumId w:val="13"/>
  </w:num>
  <w:num w:numId="22" w16cid:durableId="15291809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262E"/>
    <w:rsid w:val="00013887"/>
    <w:rsid w:val="00014EEE"/>
    <w:rsid w:val="00016557"/>
    <w:rsid w:val="0002380D"/>
    <w:rsid w:val="00023C40"/>
    <w:rsid w:val="0002507D"/>
    <w:rsid w:val="00025C2C"/>
    <w:rsid w:val="0002703B"/>
    <w:rsid w:val="00027536"/>
    <w:rsid w:val="0002769C"/>
    <w:rsid w:val="00027F3B"/>
    <w:rsid w:val="00030BA3"/>
    <w:rsid w:val="00033219"/>
    <w:rsid w:val="00033397"/>
    <w:rsid w:val="00034A93"/>
    <w:rsid w:val="00040095"/>
    <w:rsid w:val="000424CF"/>
    <w:rsid w:val="00042C64"/>
    <w:rsid w:val="00043367"/>
    <w:rsid w:val="00044A97"/>
    <w:rsid w:val="0004518A"/>
    <w:rsid w:val="00045A84"/>
    <w:rsid w:val="000474E2"/>
    <w:rsid w:val="00054C13"/>
    <w:rsid w:val="000620CF"/>
    <w:rsid w:val="00064894"/>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6D96"/>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0F70FB"/>
    <w:rsid w:val="001027FF"/>
    <w:rsid w:val="001044DC"/>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2643"/>
    <w:rsid w:val="001330AA"/>
    <w:rsid w:val="00134509"/>
    <w:rsid w:val="0013734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40A"/>
    <w:rsid w:val="001C15C2"/>
    <w:rsid w:val="001C2007"/>
    <w:rsid w:val="001C20F9"/>
    <w:rsid w:val="001C23F4"/>
    <w:rsid w:val="001C27A8"/>
    <w:rsid w:val="001C39BB"/>
    <w:rsid w:val="001C412E"/>
    <w:rsid w:val="001C4F79"/>
    <w:rsid w:val="001C4FA9"/>
    <w:rsid w:val="001C54A6"/>
    <w:rsid w:val="001C7D28"/>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58E1"/>
    <w:rsid w:val="002376DE"/>
    <w:rsid w:val="00237C6F"/>
    <w:rsid w:val="00240F3E"/>
    <w:rsid w:val="00241E42"/>
    <w:rsid w:val="0024282A"/>
    <w:rsid w:val="00244A05"/>
    <w:rsid w:val="00250404"/>
    <w:rsid w:val="00252E84"/>
    <w:rsid w:val="0025349B"/>
    <w:rsid w:val="00256B74"/>
    <w:rsid w:val="0025771D"/>
    <w:rsid w:val="002610C3"/>
    <w:rsid w:val="002610D8"/>
    <w:rsid w:val="0026144F"/>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2C7B"/>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337DA"/>
    <w:rsid w:val="00342301"/>
    <w:rsid w:val="00342F95"/>
    <w:rsid w:val="00345BAC"/>
    <w:rsid w:val="00346049"/>
    <w:rsid w:val="0035462D"/>
    <w:rsid w:val="00355DDB"/>
    <w:rsid w:val="00357447"/>
    <w:rsid w:val="00361DAE"/>
    <w:rsid w:val="00362155"/>
    <w:rsid w:val="0036459E"/>
    <w:rsid w:val="00364B41"/>
    <w:rsid w:val="003657F9"/>
    <w:rsid w:val="003679AC"/>
    <w:rsid w:val="00375E94"/>
    <w:rsid w:val="003805DE"/>
    <w:rsid w:val="00380EF3"/>
    <w:rsid w:val="00383096"/>
    <w:rsid w:val="00384286"/>
    <w:rsid w:val="00384B5F"/>
    <w:rsid w:val="003851B4"/>
    <w:rsid w:val="00385EC5"/>
    <w:rsid w:val="003865CF"/>
    <w:rsid w:val="0038759A"/>
    <w:rsid w:val="003909E9"/>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E37"/>
    <w:rsid w:val="003C7A4A"/>
    <w:rsid w:val="003D0593"/>
    <w:rsid w:val="003D0B7A"/>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5538"/>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33BA"/>
    <w:rsid w:val="00446C3A"/>
    <w:rsid w:val="00446DA1"/>
    <w:rsid w:val="00450197"/>
    <w:rsid w:val="00450AE2"/>
    <w:rsid w:val="004532D6"/>
    <w:rsid w:val="00460F94"/>
    <w:rsid w:val="004620AA"/>
    <w:rsid w:val="00462C72"/>
    <w:rsid w:val="00464E98"/>
    <w:rsid w:val="00465587"/>
    <w:rsid w:val="00465E93"/>
    <w:rsid w:val="00466417"/>
    <w:rsid w:val="004676A1"/>
    <w:rsid w:val="00471682"/>
    <w:rsid w:val="00473C07"/>
    <w:rsid w:val="00475784"/>
    <w:rsid w:val="00477455"/>
    <w:rsid w:val="00482E34"/>
    <w:rsid w:val="0048470B"/>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2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7F5"/>
    <w:rsid w:val="00534278"/>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4D1"/>
    <w:rsid w:val="0058488E"/>
    <w:rsid w:val="00587870"/>
    <w:rsid w:val="005909D8"/>
    <w:rsid w:val="00595466"/>
    <w:rsid w:val="005955BD"/>
    <w:rsid w:val="00595AE9"/>
    <w:rsid w:val="005A13AB"/>
    <w:rsid w:val="005A20BE"/>
    <w:rsid w:val="005A3300"/>
    <w:rsid w:val="005A3F23"/>
    <w:rsid w:val="005A3FB4"/>
    <w:rsid w:val="005A49C6"/>
    <w:rsid w:val="005A4E04"/>
    <w:rsid w:val="005A588A"/>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D5BCD"/>
    <w:rsid w:val="005E3245"/>
    <w:rsid w:val="005E3432"/>
    <w:rsid w:val="005E37F3"/>
    <w:rsid w:val="005E58AB"/>
    <w:rsid w:val="005E7094"/>
    <w:rsid w:val="005E70FE"/>
    <w:rsid w:val="005F0EE1"/>
    <w:rsid w:val="005F2976"/>
    <w:rsid w:val="005F45C0"/>
    <w:rsid w:val="005F7273"/>
    <w:rsid w:val="00600A74"/>
    <w:rsid w:val="00600CC3"/>
    <w:rsid w:val="00602183"/>
    <w:rsid w:val="00602F77"/>
    <w:rsid w:val="0060541C"/>
    <w:rsid w:val="00606121"/>
    <w:rsid w:val="00606BEB"/>
    <w:rsid w:val="00607655"/>
    <w:rsid w:val="00607CDE"/>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519D"/>
    <w:rsid w:val="0065673A"/>
    <w:rsid w:val="00656910"/>
    <w:rsid w:val="00656A82"/>
    <w:rsid w:val="006574C0"/>
    <w:rsid w:val="0066129F"/>
    <w:rsid w:val="0066198D"/>
    <w:rsid w:val="00662AAB"/>
    <w:rsid w:val="00662E84"/>
    <w:rsid w:val="006675D9"/>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6FA2"/>
    <w:rsid w:val="006C7615"/>
    <w:rsid w:val="006C7C77"/>
    <w:rsid w:val="006D1E24"/>
    <w:rsid w:val="006D35DE"/>
    <w:rsid w:val="006D3A74"/>
    <w:rsid w:val="006D714C"/>
    <w:rsid w:val="006E1057"/>
    <w:rsid w:val="006E1417"/>
    <w:rsid w:val="006E2E32"/>
    <w:rsid w:val="006E4B82"/>
    <w:rsid w:val="006E7146"/>
    <w:rsid w:val="006E7658"/>
    <w:rsid w:val="006E77EA"/>
    <w:rsid w:val="006F0F2E"/>
    <w:rsid w:val="006F26C5"/>
    <w:rsid w:val="006F33F1"/>
    <w:rsid w:val="006F4A54"/>
    <w:rsid w:val="006F53F7"/>
    <w:rsid w:val="006F5655"/>
    <w:rsid w:val="006F6A2C"/>
    <w:rsid w:val="00701121"/>
    <w:rsid w:val="00702100"/>
    <w:rsid w:val="00702A15"/>
    <w:rsid w:val="007031B3"/>
    <w:rsid w:val="00705B47"/>
    <w:rsid w:val="007069DC"/>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0A3F"/>
    <w:rsid w:val="0073190C"/>
    <w:rsid w:val="00732C9D"/>
    <w:rsid w:val="007342B5"/>
    <w:rsid w:val="00734A5B"/>
    <w:rsid w:val="00737748"/>
    <w:rsid w:val="0074096F"/>
    <w:rsid w:val="00741A78"/>
    <w:rsid w:val="00742123"/>
    <w:rsid w:val="00744098"/>
    <w:rsid w:val="00744E76"/>
    <w:rsid w:val="00751877"/>
    <w:rsid w:val="007535B4"/>
    <w:rsid w:val="0075554C"/>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3741"/>
    <w:rsid w:val="00864766"/>
    <w:rsid w:val="00864D49"/>
    <w:rsid w:val="00865D86"/>
    <w:rsid w:val="008725E3"/>
    <w:rsid w:val="0087617E"/>
    <w:rsid w:val="008768CA"/>
    <w:rsid w:val="00877D17"/>
    <w:rsid w:val="00877EF9"/>
    <w:rsid w:val="00880559"/>
    <w:rsid w:val="00883448"/>
    <w:rsid w:val="00884DDB"/>
    <w:rsid w:val="008850EB"/>
    <w:rsid w:val="00886D74"/>
    <w:rsid w:val="00890A41"/>
    <w:rsid w:val="008915C4"/>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A7C2E"/>
    <w:rsid w:val="008B02B9"/>
    <w:rsid w:val="008B0767"/>
    <w:rsid w:val="008B11E8"/>
    <w:rsid w:val="008B1FA5"/>
    <w:rsid w:val="008B2AEA"/>
    <w:rsid w:val="008B2C11"/>
    <w:rsid w:val="008B3770"/>
    <w:rsid w:val="008B4E0F"/>
    <w:rsid w:val="008B5306"/>
    <w:rsid w:val="008B54E8"/>
    <w:rsid w:val="008C1209"/>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1C4C"/>
    <w:rsid w:val="009222DC"/>
    <w:rsid w:val="00923655"/>
    <w:rsid w:val="00924800"/>
    <w:rsid w:val="009248C6"/>
    <w:rsid w:val="00925D25"/>
    <w:rsid w:val="00932439"/>
    <w:rsid w:val="009339CB"/>
    <w:rsid w:val="00936071"/>
    <w:rsid w:val="009376CD"/>
    <w:rsid w:val="00940212"/>
    <w:rsid w:val="00942387"/>
    <w:rsid w:val="00942EC2"/>
    <w:rsid w:val="0094511B"/>
    <w:rsid w:val="009465DA"/>
    <w:rsid w:val="00947B82"/>
    <w:rsid w:val="00950107"/>
    <w:rsid w:val="00953312"/>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83"/>
    <w:rsid w:val="009B3ADA"/>
    <w:rsid w:val="009B40B3"/>
    <w:rsid w:val="009B464F"/>
    <w:rsid w:val="009C0ABF"/>
    <w:rsid w:val="009C0E0D"/>
    <w:rsid w:val="009C101D"/>
    <w:rsid w:val="009C19E9"/>
    <w:rsid w:val="009C2260"/>
    <w:rsid w:val="009C2338"/>
    <w:rsid w:val="009C2D39"/>
    <w:rsid w:val="009D0656"/>
    <w:rsid w:val="009D2EC7"/>
    <w:rsid w:val="009D306E"/>
    <w:rsid w:val="009D3BE3"/>
    <w:rsid w:val="009D47B0"/>
    <w:rsid w:val="009D5345"/>
    <w:rsid w:val="009D66E9"/>
    <w:rsid w:val="009D74A6"/>
    <w:rsid w:val="009D79DD"/>
    <w:rsid w:val="009E04E8"/>
    <w:rsid w:val="009E0E87"/>
    <w:rsid w:val="009E1D22"/>
    <w:rsid w:val="009E4307"/>
    <w:rsid w:val="009E4B2B"/>
    <w:rsid w:val="009E74BA"/>
    <w:rsid w:val="009F143D"/>
    <w:rsid w:val="009F59BB"/>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4719"/>
    <w:rsid w:val="00A25625"/>
    <w:rsid w:val="00A25F3B"/>
    <w:rsid w:val="00A273AF"/>
    <w:rsid w:val="00A306BC"/>
    <w:rsid w:val="00A320DA"/>
    <w:rsid w:val="00A32C37"/>
    <w:rsid w:val="00A33142"/>
    <w:rsid w:val="00A35ABD"/>
    <w:rsid w:val="00A36F5F"/>
    <w:rsid w:val="00A4016A"/>
    <w:rsid w:val="00A40CD8"/>
    <w:rsid w:val="00A40DC4"/>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910"/>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5EC1"/>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568"/>
    <w:rsid w:val="00B669E9"/>
    <w:rsid w:val="00B70214"/>
    <w:rsid w:val="00B75177"/>
    <w:rsid w:val="00B7538C"/>
    <w:rsid w:val="00B77C31"/>
    <w:rsid w:val="00B83B5D"/>
    <w:rsid w:val="00B841E1"/>
    <w:rsid w:val="00B84B94"/>
    <w:rsid w:val="00B84DB2"/>
    <w:rsid w:val="00B85698"/>
    <w:rsid w:val="00B9334E"/>
    <w:rsid w:val="00B93C12"/>
    <w:rsid w:val="00B95076"/>
    <w:rsid w:val="00B973C9"/>
    <w:rsid w:val="00B973F7"/>
    <w:rsid w:val="00BA0A1F"/>
    <w:rsid w:val="00BA1FF7"/>
    <w:rsid w:val="00BA2A6C"/>
    <w:rsid w:val="00BA41D2"/>
    <w:rsid w:val="00BA5F47"/>
    <w:rsid w:val="00BB0152"/>
    <w:rsid w:val="00BB7A32"/>
    <w:rsid w:val="00BC0915"/>
    <w:rsid w:val="00BC0DDB"/>
    <w:rsid w:val="00BC10C9"/>
    <w:rsid w:val="00BC1494"/>
    <w:rsid w:val="00BC3555"/>
    <w:rsid w:val="00BC371F"/>
    <w:rsid w:val="00BC4C54"/>
    <w:rsid w:val="00BC6B34"/>
    <w:rsid w:val="00BC6D69"/>
    <w:rsid w:val="00BC77E1"/>
    <w:rsid w:val="00BD3671"/>
    <w:rsid w:val="00BD370A"/>
    <w:rsid w:val="00BD4BE8"/>
    <w:rsid w:val="00BE21EE"/>
    <w:rsid w:val="00BE307A"/>
    <w:rsid w:val="00BE3A24"/>
    <w:rsid w:val="00BE447D"/>
    <w:rsid w:val="00BE543F"/>
    <w:rsid w:val="00BE690B"/>
    <w:rsid w:val="00BF0018"/>
    <w:rsid w:val="00BF1042"/>
    <w:rsid w:val="00BF3581"/>
    <w:rsid w:val="00BF3C67"/>
    <w:rsid w:val="00BF40D9"/>
    <w:rsid w:val="00BF42B6"/>
    <w:rsid w:val="00BF4A71"/>
    <w:rsid w:val="00BF688A"/>
    <w:rsid w:val="00C00175"/>
    <w:rsid w:val="00C01682"/>
    <w:rsid w:val="00C01AD5"/>
    <w:rsid w:val="00C036C9"/>
    <w:rsid w:val="00C0532B"/>
    <w:rsid w:val="00C07060"/>
    <w:rsid w:val="00C07441"/>
    <w:rsid w:val="00C10D3B"/>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35A20"/>
    <w:rsid w:val="00C366AA"/>
    <w:rsid w:val="00C400C2"/>
    <w:rsid w:val="00C41C7C"/>
    <w:rsid w:val="00C47326"/>
    <w:rsid w:val="00C51122"/>
    <w:rsid w:val="00C51BBA"/>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1FE8"/>
    <w:rsid w:val="00C92557"/>
    <w:rsid w:val="00C9255F"/>
    <w:rsid w:val="00C92967"/>
    <w:rsid w:val="00C93C63"/>
    <w:rsid w:val="00C9575C"/>
    <w:rsid w:val="00C95A73"/>
    <w:rsid w:val="00C97649"/>
    <w:rsid w:val="00CA1C06"/>
    <w:rsid w:val="00CA2E23"/>
    <w:rsid w:val="00CA3D0C"/>
    <w:rsid w:val="00CA6386"/>
    <w:rsid w:val="00CA654B"/>
    <w:rsid w:val="00CA667D"/>
    <w:rsid w:val="00CB0678"/>
    <w:rsid w:val="00CB07FF"/>
    <w:rsid w:val="00CB0B4C"/>
    <w:rsid w:val="00CB1189"/>
    <w:rsid w:val="00CB11D8"/>
    <w:rsid w:val="00CB14AD"/>
    <w:rsid w:val="00CB16D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6CF9"/>
    <w:rsid w:val="00CF7516"/>
    <w:rsid w:val="00CF7A18"/>
    <w:rsid w:val="00D009F4"/>
    <w:rsid w:val="00D00D29"/>
    <w:rsid w:val="00D01ED1"/>
    <w:rsid w:val="00D030D6"/>
    <w:rsid w:val="00D032C9"/>
    <w:rsid w:val="00D05619"/>
    <w:rsid w:val="00D05863"/>
    <w:rsid w:val="00D0640E"/>
    <w:rsid w:val="00D10563"/>
    <w:rsid w:val="00D10681"/>
    <w:rsid w:val="00D11088"/>
    <w:rsid w:val="00D1241E"/>
    <w:rsid w:val="00D16095"/>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039E"/>
    <w:rsid w:val="00D5143D"/>
    <w:rsid w:val="00D5261C"/>
    <w:rsid w:val="00D53AEA"/>
    <w:rsid w:val="00D5408C"/>
    <w:rsid w:val="00D54820"/>
    <w:rsid w:val="00D55572"/>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049"/>
    <w:rsid w:val="00D939A9"/>
    <w:rsid w:val="00D960B3"/>
    <w:rsid w:val="00D967F7"/>
    <w:rsid w:val="00D96D11"/>
    <w:rsid w:val="00DA0679"/>
    <w:rsid w:val="00DA22A3"/>
    <w:rsid w:val="00DA7A03"/>
    <w:rsid w:val="00DB0729"/>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0A71"/>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16DB4"/>
    <w:rsid w:val="00E176C4"/>
    <w:rsid w:val="00E232F5"/>
    <w:rsid w:val="00E233CD"/>
    <w:rsid w:val="00E23DD2"/>
    <w:rsid w:val="00E244F3"/>
    <w:rsid w:val="00E2542B"/>
    <w:rsid w:val="00E274DD"/>
    <w:rsid w:val="00E27679"/>
    <w:rsid w:val="00E3415F"/>
    <w:rsid w:val="00E34242"/>
    <w:rsid w:val="00E34775"/>
    <w:rsid w:val="00E35620"/>
    <w:rsid w:val="00E35EA9"/>
    <w:rsid w:val="00E363A8"/>
    <w:rsid w:val="00E37289"/>
    <w:rsid w:val="00E43CF7"/>
    <w:rsid w:val="00E46C08"/>
    <w:rsid w:val="00E471CF"/>
    <w:rsid w:val="00E51C10"/>
    <w:rsid w:val="00E53006"/>
    <w:rsid w:val="00E54CA7"/>
    <w:rsid w:val="00E56193"/>
    <w:rsid w:val="00E56A8E"/>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E3F04"/>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82D"/>
    <w:rsid w:val="00F24D0B"/>
    <w:rsid w:val="00F253F6"/>
    <w:rsid w:val="00F26194"/>
    <w:rsid w:val="00F2761E"/>
    <w:rsid w:val="00F3039E"/>
    <w:rsid w:val="00F30A39"/>
    <w:rsid w:val="00F30C19"/>
    <w:rsid w:val="00F31372"/>
    <w:rsid w:val="00F31F7A"/>
    <w:rsid w:val="00F36F8A"/>
    <w:rsid w:val="00F37743"/>
    <w:rsid w:val="00F40C2F"/>
    <w:rsid w:val="00F41D84"/>
    <w:rsid w:val="00F42493"/>
    <w:rsid w:val="00F45EF8"/>
    <w:rsid w:val="00F50093"/>
    <w:rsid w:val="00F51984"/>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2514"/>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character" w:styleId="FollowedHyperlink">
    <w:name w:val="FollowedHyperlink"/>
    <w:basedOn w:val="DefaultParagraphFont"/>
    <w:rsid w:val="006675D9"/>
    <w:rPr>
      <w:color w:val="954F72" w:themeColor="followedHyperlink"/>
      <w:u w:val="single"/>
    </w:rPr>
  </w:style>
  <w:style w:type="paragraph" w:customStyle="1" w:styleId="Doc-text2">
    <w:name w:val="Doc-text2"/>
    <w:basedOn w:val="Normal"/>
    <w:link w:val="Doc-text2Char"/>
    <w:qFormat/>
    <w:rsid w:val="00BE54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543F"/>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E54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53829032">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33789957">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89854152">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779686117">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1979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4.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639</TotalTime>
  <Pages>5</Pages>
  <Words>1630</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153</cp:revision>
  <dcterms:created xsi:type="dcterms:W3CDTF">2024-10-02T08:23:00Z</dcterms:created>
  <dcterms:modified xsi:type="dcterms:W3CDTF">2025-02-06T10:19:00Z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